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3D98" w14:textId="77777777" w:rsidR="00124A2F" w:rsidRDefault="00124A2F" w:rsidP="00506E1B">
      <w:pPr>
        <w:pStyle w:val="a3"/>
        <w:tabs>
          <w:tab w:val="left" w:pos="9781"/>
        </w:tabs>
        <w:rPr>
          <w:sz w:val="24"/>
        </w:rPr>
      </w:pPr>
    </w:p>
    <w:p w14:paraId="4510D359" w14:textId="77777777" w:rsidR="00124A2F" w:rsidRDefault="00124A2F" w:rsidP="00506E1B">
      <w:pPr>
        <w:pStyle w:val="a3"/>
        <w:tabs>
          <w:tab w:val="left" w:pos="9781"/>
        </w:tabs>
        <w:spacing w:before="165"/>
        <w:rPr>
          <w:sz w:val="24"/>
        </w:rPr>
      </w:pPr>
    </w:p>
    <w:p w14:paraId="3188E316" w14:textId="77777777" w:rsidR="00124A2F" w:rsidRDefault="001308F2" w:rsidP="00506E1B">
      <w:pPr>
        <w:tabs>
          <w:tab w:val="left" w:pos="9781"/>
        </w:tabs>
        <w:ind w:left="5904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58240" behindDoc="0" locked="0" layoutInCell="1" allowOverlap="1" wp14:anchorId="083289B4" wp14:editId="15D965CE">
            <wp:simplePos x="0" y="0"/>
            <wp:positionH relativeFrom="page">
              <wp:posOffset>3823698</wp:posOffset>
            </wp:positionH>
            <wp:positionV relativeFrom="paragraph">
              <wp:posOffset>-449020</wp:posOffset>
            </wp:positionV>
            <wp:extent cx="393700" cy="55198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5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F4D">
        <w:rPr>
          <w:sz w:val="24"/>
        </w:rPr>
        <w:t xml:space="preserve">                </w:t>
      </w:r>
      <w:r>
        <w:rPr>
          <w:sz w:val="24"/>
        </w:rPr>
        <w:t>Анатолій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ТОНКОШКУРИЙ</w:t>
      </w:r>
    </w:p>
    <w:p w14:paraId="6B7C9017" w14:textId="77777777" w:rsidR="00124A2F" w:rsidRDefault="001308F2" w:rsidP="00506E1B">
      <w:pPr>
        <w:pStyle w:val="1"/>
        <w:tabs>
          <w:tab w:val="left" w:pos="9781"/>
        </w:tabs>
        <w:spacing w:before="183"/>
      </w:pPr>
      <w:r>
        <w:rPr>
          <w:color w:val="000080"/>
        </w:rPr>
        <w:t>ВАРАСЬКА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МІСЬКА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4"/>
        </w:rPr>
        <w:t>РАДА</w:t>
      </w:r>
    </w:p>
    <w:p w14:paraId="24B0BF0A" w14:textId="77777777" w:rsidR="00124A2F" w:rsidRDefault="001308F2" w:rsidP="00506E1B">
      <w:pPr>
        <w:tabs>
          <w:tab w:val="left" w:pos="629"/>
          <w:tab w:val="left" w:pos="9781"/>
        </w:tabs>
        <w:spacing w:before="240"/>
        <w:ind w:left="4"/>
        <w:jc w:val="center"/>
        <w:rPr>
          <w:b/>
          <w:sz w:val="28"/>
        </w:rPr>
      </w:pPr>
      <w:r>
        <w:rPr>
          <w:color w:val="000080"/>
          <w:sz w:val="28"/>
          <w:u w:val="single" w:color="00007F"/>
        </w:rPr>
        <w:tab/>
      </w:r>
      <w:r>
        <w:rPr>
          <w:b/>
          <w:color w:val="000080"/>
          <w:sz w:val="28"/>
        </w:rPr>
        <w:t>сесія</w:t>
      </w:r>
      <w:r>
        <w:rPr>
          <w:b/>
          <w:color w:val="000080"/>
          <w:spacing w:val="64"/>
          <w:sz w:val="28"/>
        </w:rPr>
        <w:t xml:space="preserve"> </w:t>
      </w:r>
      <w:r>
        <w:rPr>
          <w:b/>
          <w:color w:val="000080"/>
          <w:sz w:val="28"/>
        </w:rPr>
        <w:t>VIII</w:t>
      </w:r>
      <w:r>
        <w:rPr>
          <w:b/>
          <w:color w:val="000080"/>
          <w:spacing w:val="-1"/>
          <w:sz w:val="28"/>
        </w:rPr>
        <w:t xml:space="preserve"> </w:t>
      </w:r>
      <w:r>
        <w:rPr>
          <w:b/>
          <w:color w:val="000080"/>
          <w:spacing w:val="-2"/>
          <w:sz w:val="28"/>
        </w:rPr>
        <w:t>скликання</w:t>
      </w:r>
    </w:p>
    <w:p w14:paraId="2B9D9FB3" w14:textId="77777777" w:rsidR="00124A2F" w:rsidRDefault="00124A2F" w:rsidP="00506E1B">
      <w:pPr>
        <w:pStyle w:val="a3"/>
        <w:tabs>
          <w:tab w:val="left" w:pos="9781"/>
        </w:tabs>
        <w:spacing w:before="238"/>
        <w:rPr>
          <w:b/>
        </w:rPr>
      </w:pPr>
    </w:p>
    <w:p w14:paraId="5904714A" w14:textId="6AD5B95C" w:rsidR="00124A2F" w:rsidRDefault="001308F2" w:rsidP="00506E1B">
      <w:pPr>
        <w:tabs>
          <w:tab w:val="left" w:pos="2235"/>
          <w:tab w:val="left" w:pos="9781"/>
        </w:tabs>
        <w:ind w:left="1"/>
        <w:jc w:val="center"/>
        <w:rPr>
          <w:b/>
          <w:color w:val="000080"/>
          <w:spacing w:val="-10"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Р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О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Є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К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Т</w:t>
      </w:r>
      <w:r>
        <w:rPr>
          <w:b/>
          <w:color w:val="000080"/>
          <w:sz w:val="32"/>
        </w:rPr>
        <w:tab/>
        <w:t>Р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І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3"/>
          <w:sz w:val="32"/>
        </w:rPr>
        <w:t xml:space="preserve"> </w:t>
      </w:r>
      <w:proofErr w:type="spellStart"/>
      <w:r>
        <w:rPr>
          <w:b/>
          <w:color w:val="000080"/>
          <w:sz w:val="32"/>
        </w:rPr>
        <w:t>Н</w:t>
      </w:r>
      <w:proofErr w:type="spellEnd"/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Я</w:t>
      </w:r>
    </w:p>
    <w:p w14:paraId="2434E932" w14:textId="7A45B3C9" w:rsidR="00CF588F" w:rsidRPr="00CF588F" w:rsidRDefault="00CF588F" w:rsidP="00506E1B">
      <w:pPr>
        <w:tabs>
          <w:tab w:val="left" w:pos="2235"/>
          <w:tab w:val="left" w:pos="9781"/>
        </w:tabs>
        <w:ind w:left="1"/>
        <w:jc w:val="center"/>
        <w:rPr>
          <w:bCs/>
          <w:color w:val="000000" w:themeColor="text1"/>
          <w:sz w:val="28"/>
          <w:szCs w:val="28"/>
        </w:rPr>
      </w:pPr>
      <w:r w:rsidRPr="00CF588F">
        <w:rPr>
          <w:bCs/>
          <w:color w:val="000000" w:themeColor="text1"/>
          <w:spacing w:val="-10"/>
          <w:sz w:val="28"/>
          <w:szCs w:val="28"/>
        </w:rPr>
        <w:t>(нова редакція від 21.08.2025)</w:t>
      </w:r>
    </w:p>
    <w:p w14:paraId="1A7B06DE" w14:textId="74BA61E3" w:rsidR="00124A2F" w:rsidRDefault="00124A2F" w:rsidP="00506E1B">
      <w:pPr>
        <w:pStyle w:val="a3"/>
        <w:tabs>
          <w:tab w:val="left" w:pos="9781"/>
        </w:tabs>
        <w:rPr>
          <w:b/>
        </w:rPr>
      </w:pPr>
    </w:p>
    <w:p w14:paraId="2D4A3DC6" w14:textId="77777777" w:rsidR="00CF588F" w:rsidRPr="00CF588F" w:rsidRDefault="00CF588F" w:rsidP="00506E1B">
      <w:pPr>
        <w:pStyle w:val="a3"/>
        <w:tabs>
          <w:tab w:val="left" w:pos="9781"/>
        </w:tabs>
        <w:rPr>
          <w:b/>
        </w:rPr>
      </w:pPr>
    </w:p>
    <w:p w14:paraId="7CC32419" w14:textId="79F630C8" w:rsidR="00124A2F" w:rsidRPr="00CF588F" w:rsidRDefault="00CF588F" w:rsidP="00506E1B">
      <w:pPr>
        <w:pStyle w:val="a3"/>
        <w:tabs>
          <w:tab w:val="left" w:pos="9781"/>
        </w:tabs>
        <w:rPr>
          <w:bCs/>
          <w:lang w:val="en-US"/>
        </w:rPr>
      </w:pPr>
      <w:r w:rsidRPr="00CF588F">
        <w:rPr>
          <w:bCs/>
        </w:rPr>
        <w:t xml:space="preserve">14.08.2025                        </w:t>
      </w:r>
      <w:r>
        <w:rPr>
          <w:bCs/>
          <w:lang w:val="en-US"/>
        </w:rPr>
        <w:t xml:space="preserve">                  </w:t>
      </w:r>
      <w:r w:rsidRPr="00CF588F">
        <w:rPr>
          <w:bCs/>
        </w:rPr>
        <w:t xml:space="preserve">   м.</w:t>
      </w:r>
      <w:r w:rsidRPr="00CF588F">
        <w:rPr>
          <w:bCs/>
          <w:lang w:val="en-US"/>
        </w:rPr>
        <w:t xml:space="preserve"> </w:t>
      </w:r>
      <w:proofErr w:type="spellStart"/>
      <w:r w:rsidRPr="00CF588F">
        <w:rPr>
          <w:bCs/>
        </w:rPr>
        <w:t>Вараш</w:t>
      </w:r>
      <w:proofErr w:type="spellEnd"/>
      <w:r w:rsidRPr="00CF588F">
        <w:rPr>
          <w:bCs/>
        </w:rPr>
        <w:t xml:space="preserve">                </w:t>
      </w:r>
      <w:r>
        <w:rPr>
          <w:bCs/>
          <w:lang w:val="en-US"/>
        </w:rPr>
        <w:t xml:space="preserve">      </w:t>
      </w:r>
      <w:r w:rsidRPr="00CF588F">
        <w:rPr>
          <w:bCs/>
        </w:rPr>
        <w:t>№3702-ПРР-</w:t>
      </w:r>
      <w:r w:rsidRPr="00CF588F">
        <w:rPr>
          <w:bCs/>
          <w:lang w:val="en-US"/>
        </w:rPr>
        <w:t>VIII-1440</w:t>
      </w:r>
    </w:p>
    <w:p w14:paraId="654CCEC9" w14:textId="77777777" w:rsidR="00124A2F" w:rsidRDefault="00124A2F" w:rsidP="00506E1B">
      <w:pPr>
        <w:pStyle w:val="a3"/>
        <w:tabs>
          <w:tab w:val="left" w:pos="9781"/>
        </w:tabs>
        <w:spacing w:before="335"/>
        <w:rPr>
          <w:b/>
          <w:sz w:val="32"/>
        </w:rPr>
      </w:pPr>
    </w:p>
    <w:p w14:paraId="4EA5F106" w14:textId="77777777" w:rsidR="00124A2F" w:rsidRDefault="001308F2" w:rsidP="00506E1B">
      <w:pPr>
        <w:pStyle w:val="a3"/>
        <w:tabs>
          <w:tab w:val="left" w:pos="9781"/>
        </w:tabs>
        <w:spacing w:line="249" w:lineRule="auto"/>
        <w:ind w:left="138" w:right="4556" w:hanging="10"/>
      </w:pPr>
      <w:r>
        <w:t xml:space="preserve">Про внесення змін до Комплексної програми розвитку цивільного захисту </w:t>
      </w:r>
      <w:proofErr w:type="spellStart"/>
      <w:r>
        <w:t>Вараської</w:t>
      </w:r>
      <w:proofErr w:type="spellEnd"/>
      <w:r>
        <w:rPr>
          <w:spacing w:val="-13"/>
        </w:rPr>
        <w:t xml:space="preserve"> </w:t>
      </w:r>
      <w:r>
        <w:t>міської</w:t>
      </w:r>
      <w:r>
        <w:rPr>
          <w:spacing w:val="-13"/>
        </w:rPr>
        <w:t xml:space="preserve"> </w:t>
      </w:r>
      <w:r>
        <w:t>територіальної</w:t>
      </w:r>
      <w:r>
        <w:rPr>
          <w:spacing w:val="-13"/>
        </w:rPr>
        <w:t xml:space="preserve"> </w:t>
      </w:r>
      <w:r>
        <w:t>громади на 2021-2025 роки</w:t>
      </w:r>
    </w:p>
    <w:p w14:paraId="4F1C649F" w14:textId="77777777" w:rsidR="00124A2F" w:rsidRDefault="00124A2F" w:rsidP="00506E1B">
      <w:pPr>
        <w:pStyle w:val="a3"/>
        <w:tabs>
          <w:tab w:val="left" w:pos="9781"/>
        </w:tabs>
        <w:spacing w:before="25"/>
      </w:pPr>
    </w:p>
    <w:p w14:paraId="0F4D01C1" w14:textId="77777777" w:rsidR="00124A2F" w:rsidRDefault="001308F2" w:rsidP="00506E1B">
      <w:pPr>
        <w:pStyle w:val="a3"/>
        <w:tabs>
          <w:tab w:val="left" w:pos="9781"/>
        </w:tabs>
        <w:spacing w:before="1" w:line="247" w:lineRule="auto"/>
        <w:ind w:left="284" w:right="136" w:firstLine="710"/>
        <w:jc w:val="both"/>
      </w:pPr>
      <w:r>
        <w:t xml:space="preserve">З метою реалізації державної політики у сфері цивільного захисту населення і територій від надзвичайних ситуацій та інших небезпечних подій, </w:t>
      </w:r>
      <w:r w:rsidR="006465D7" w:rsidRPr="006465D7">
        <w:t xml:space="preserve"> належного утримання захисних споруд цивільного захисту, виконання зобов'язань по сплаті внесків та платежів для утримання спільного майна будинку та прибудинкової території</w:t>
      </w:r>
      <w:r>
        <w:t>,</w:t>
      </w:r>
      <w:r w:rsidR="00257F8D" w:rsidRPr="00257F8D">
        <w:t xml:space="preserve"> забезпечення населення засобами радіаційного та хімічного захисту на випадок застосування ядерної та інших видів зброї масового ураження проти України в умовах воєнного стану та виникнення надзвичайної ситуації на радіаційно та хімічно небезпечних об’єктах у мирний час та особливий період</w:t>
      </w:r>
      <w:r w:rsidR="00257F8D">
        <w:t>,</w:t>
      </w:r>
      <w:r w:rsidR="00076916">
        <w:t xml:space="preserve"> забезпечення діяльності та розвитку Комунального підприємства «Місцева пожежна охорона» </w:t>
      </w:r>
      <w:proofErr w:type="spellStart"/>
      <w:r w:rsidR="00076916">
        <w:t>Вараської</w:t>
      </w:r>
      <w:proofErr w:type="spellEnd"/>
      <w:r w:rsidR="00076916">
        <w:t xml:space="preserve"> міської ради</w:t>
      </w:r>
      <w:r w:rsidR="000F69C8">
        <w:t>,</w:t>
      </w:r>
      <w:r w:rsidR="008D6310" w:rsidRPr="008D6310">
        <w:t xml:space="preserve"> </w:t>
      </w:r>
      <w:r w:rsidR="008D6310">
        <w:t xml:space="preserve">підтримки </w:t>
      </w:r>
      <w:r w:rsidR="008D6310" w:rsidRPr="008D6310">
        <w:t xml:space="preserve">діяльності </w:t>
      </w:r>
      <w:proofErr w:type="spellStart"/>
      <w:r w:rsidR="008D6310" w:rsidRPr="008D6310">
        <w:t>пожежно</w:t>
      </w:r>
      <w:proofErr w:type="spellEnd"/>
      <w:r w:rsidR="008D6310" w:rsidRPr="008D6310">
        <w:t xml:space="preserve">-рятувального підрозділу ДСНС у м. </w:t>
      </w:r>
      <w:proofErr w:type="spellStart"/>
      <w:r w:rsidR="008D6310" w:rsidRPr="008D6310">
        <w:t>Вараш</w:t>
      </w:r>
      <w:proofErr w:type="spellEnd"/>
      <w:r w:rsidR="00A1057F">
        <w:t xml:space="preserve">, </w:t>
      </w:r>
      <w:r w:rsidR="006465D7" w:rsidRPr="006465D7">
        <w:t xml:space="preserve">відповідно до Кодексу цивільного захисту України, Закону України «Про об'єднання співвласників багатоквартирного будинку», </w:t>
      </w:r>
      <w:r w:rsidR="008F4365">
        <w:t>п</w:t>
      </w:r>
      <w:r w:rsidR="006465D7" w:rsidRPr="006465D7">
        <w:t xml:space="preserve">останов Кабінету Міністрів України </w:t>
      </w:r>
      <w:r w:rsidR="008F4365">
        <w:t xml:space="preserve">від 10.03.2027 №138 </w:t>
      </w:r>
      <w:r w:rsidR="006465D7" w:rsidRPr="006465D7">
        <w:t>«Деякі питання використання об’єктів фонду захисних споруд цивільного захисту»</w:t>
      </w:r>
      <w:r w:rsidR="00BE4F0E">
        <w:t xml:space="preserve"> (зі змінами)</w:t>
      </w:r>
      <w:r w:rsidR="006465D7" w:rsidRPr="006465D7">
        <w:t>,</w:t>
      </w:r>
      <w:r w:rsidR="00257F8D">
        <w:t xml:space="preserve"> </w:t>
      </w:r>
      <w:r w:rsidR="008F4365">
        <w:t>від 19.08.2002 №1200</w:t>
      </w:r>
      <w:r w:rsidR="00BE4F0E" w:rsidRPr="00BE4F0E">
        <w:t xml:space="preserve"> </w:t>
      </w:r>
      <w:r w:rsidR="00BE4F0E">
        <w:t>«</w:t>
      </w:r>
      <w:r w:rsidR="00BE4F0E" w:rsidRPr="00BE4F0E">
        <w:t>Про затвердження Порядку забезпечення населення засобами індивідуального захисту, приладами радіаційної та хімічної розвідки, дозиметричного і хімічного контролю</w:t>
      </w:r>
      <w:r w:rsidR="00BE4F0E">
        <w:t>»</w:t>
      </w:r>
      <w:r w:rsidR="008F4365">
        <w:t xml:space="preserve"> (зі змінами), </w:t>
      </w:r>
      <w:r w:rsidR="00B01D22" w:rsidRPr="00B01D22">
        <w:t xml:space="preserve">доручення першого заступника голови Рівненської обласної державної адміністрації Сергія ПОДОЛІНА №дор.40/01-17-25 від 05.05.2025, </w:t>
      </w:r>
      <w:r w:rsidR="00B01D22">
        <w:t xml:space="preserve">рішення </w:t>
      </w:r>
      <w:proofErr w:type="spellStart"/>
      <w:r w:rsidR="00B01D22">
        <w:t>Вараської</w:t>
      </w:r>
      <w:proofErr w:type="spellEnd"/>
      <w:r w:rsidR="00B01D22">
        <w:t xml:space="preserve"> міської ради «Про утворення Комунального підприємства «Місцева пожежна охорона» </w:t>
      </w:r>
      <w:proofErr w:type="spellStart"/>
      <w:r w:rsidR="00B01D22">
        <w:t>Вараської</w:t>
      </w:r>
      <w:proofErr w:type="spellEnd"/>
      <w:r w:rsidR="00B01D22">
        <w:t xml:space="preserve"> міської ради №2521</w:t>
      </w:r>
      <w:r w:rsidR="00B01D22" w:rsidRPr="00B01D22">
        <w:t>-</w:t>
      </w:r>
      <w:r w:rsidR="00B01D22">
        <w:rPr>
          <w:lang w:val="en-US"/>
        </w:rPr>
        <w:t>PP</w:t>
      </w:r>
      <w:r w:rsidR="00B01D22" w:rsidRPr="00B01D22">
        <w:t>-</w:t>
      </w:r>
      <w:r w:rsidR="00B01D22">
        <w:rPr>
          <w:lang w:val="en-US"/>
        </w:rPr>
        <w:t>VIII</w:t>
      </w:r>
      <w:r w:rsidR="00B01D22" w:rsidRPr="00B01D22">
        <w:t xml:space="preserve"> </w:t>
      </w:r>
      <w:r w:rsidR="00B01D22">
        <w:t>від</w:t>
      </w:r>
      <w:r w:rsidR="00B01D22" w:rsidRPr="00B01D22">
        <w:t xml:space="preserve"> 28.07.2025</w:t>
      </w:r>
      <w:r w:rsidR="00076916">
        <w:t>,</w:t>
      </w:r>
      <w:r w:rsidR="00B01D22" w:rsidRPr="00B01D22">
        <w:t xml:space="preserve"> </w:t>
      </w:r>
      <w:r w:rsidR="006465D7" w:rsidRPr="006465D7">
        <w:t>враховуючи повідомлення голови правління ОСББ «</w:t>
      </w:r>
      <w:proofErr w:type="spellStart"/>
      <w:r w:rsidR="006465D7" w:rsidRPr="006465D7">
        <w:t>Вараш</w:t>
      </w:r>
      <w:proofErr w:type="spellEnd"/>
      <w:r w:rsidR="006465D7" w:rsidRPr="006465D7">
        <w:t xml:space="preserve"> </w:t>
      </w:r>
      <w:r w:rsidR="00395A9E">
        <w:t>3</w:t>
      </w:r>
      <w:r w:rsidR="006465D7" w:rsidRPr="006465D7">
        <w:t xml:space="preserve">»  </w:t>
      </w:r>
      <w:r w:rsidR="006465D7" w:rsidRPr="006465D7">
        <w:lastRenderedPageBreak/>
        <w:t>№</w:t>
      </w:r>
      <w:r w:rsidR="00395A9E">
        <w:t>254</w:t>
      </w:r>
      <w:r w:rsidR="006465D7" w:rsidRPr="006465D7">
        <w:t xml:space="preserve"> від </w:t>
      </w:r>
      <w:r w:rsidR="00395A9E">
        <w:t>17</w:t>
      </w:r>
      <w:r w:rsidR="006465D7" w:rsidRPr="006465D7">
        <w:t>.0</w:t>
      </w:r>
      <w:r w:rsidR="00395A9E">
        <w:t>7</w:t>
      </w:r>
      <w:r w:rsidR="006465D7" w:rsidRPr="006465D7">
        <w:t>.2025 та протокол загальних зборів ОСББ «</w:t>
      </w:r>
      <w:proofErr w:type="spellStart"/>
      <w:r w:rsidR="006465D7" w:rsidRPr="006465D7">
        <w:t>Вараш</w:t>
      </w:r>
      <w:proofErr w:type="spellEnd"/>
      <w:r w:rsidR="006465D7" w:rsidRPr="006465D7">
        <w:t xml:space="preserve"> </w:t>
      </w:r>
      <w:r w:rsidR="00395A9E">
        <w:t>3</w:t>
      </w:r>
      <w:r w:rsidR="006465D7" w:rsidRPr="006465D7">
        <w:t>»</w:t>
      </w:r>
      <w:r w:rsidR="009F3D5B">
        <w:t>,</w:t>
      </w:r>
      <w:r w:rsidR="002658BF">
        <w:t xml:space="preserve"> </w:t>
      </w:r>
      <w:r w:rsidR="00552E77">
        <w:t xml:space="preserve"> лист</w:t>
      </w:r>
      <w:r w:rsidR="00AD0FE5">
        <w:t xml:space="preserve"> начальника 5 ДПРЗ ГУ ДСНС України у Рівненській області №62 34 1-1453/62 34/15 від 08.07.2025,</w:t>
      </w:r>
      <w:r w:rsidR="00552E77">
        <w:t xml:space="preserve"> </w:t>
      </w:r>
      <w:r>
        <w:t>керуючись</w:t>
      </w:r>
      <w:r>
        <w:rPr>
          <w:spacing w:val="80"/>
        </w:rPr>
        <w:t xml:space="preserve"> </w:t>
      </w:r>
      <w:r>
        <w:t>підпунктом</w:t>
      </w:r>
      <w:r>
        <w:rPr>
          <w:spacing w:val="80"/>
        </w:rPr>
        <w:t xml:space="preserve"> </w:t>
      </w:r>
      <w:r>
        <w:t>22</w:t>
      </w:r>
      <w:r>
        <w:rPr>
          <w:spacing w:val="80"/>
        </w:rPr>
        <w:t xml:space="preserve"> </w:t>
      </w:r>
      <w:r>
        <w:t>частини</w:t>
      </w:r>
      <w:r>
        <w:rPr>
          <w:spacing w:val="80"/>
        </w:rPr>
        <w:t xml:space="preserve"> </w:t>
      </w:r>
      <w:r>
        <w:t>першої</w:t>
      </w:r>
      <w:r>
        <w:rPr>
          <w:spacing w:val="80"/>
        </w:rPr>
        <w:t xml:space="preserve"> </w:t>
      </w:r>
      <w:r>
        <w:t>статті</w:t>
      </w:r>
      <w:r>
        <w:rPr>
          <w:spacing w:val="80"/>
        </w:rPr>
        <w:t xml:space="preserve"> </w:t>
      </w:r>
      <w:r>
        <w:t>26,</w:t>
      </w:r>
      <w:r w:rsidR="006D7713">
        <w:t xml:space="preserve"> </w:t>
      </w:r>
      <w:r>
        <w:t xml:space="preserve">статтею 59 Закону України «Про місцеве самоврядування в Україні», за погодженням з постійними депутатськими комісіями </w:t>
      </w:r>
      <w:proofErr w:type="spellStart"/>
      <w:r>
        <w:t>Вараської</w:t>
      </w:r>
      <w:proofErr w:type="spellEnd"/>
      <w:r>
        <w:t xml:space="preserve"> міської ради, </w:t>
      </w:r>
      <w:proofErr w:type="spellStart"/>
      <w:r>
        <w:t>Вараська</w:t>
      </w:r>
      <w:proofErr w:type="spellEnd"/>
      <w:r>
        <w:t xml:space="preserve"> міська рада</w:t>
      </w:r>
    </w:p>
    <w:p w14:paraId="1849025C" w14:textId="77777777" w:rsidR="00124A2F" w:rsidRDefault="00124A2F" w:rsidP="00506E1B">
      <w:pPr>
        <w:pStyle w:val="a3"/>
        <w:tabs>
          <w:tab w:val="left" w:pos="9781"/>
        </w:tabs>
        <w:spacing w:before="18"/>
      </w:pPr>
    </w:p>
    <w:p w14:paraId="43EC5492" w14:textId="77777777" w:rsidR="00124A2F" w:rsidRDefault="001308F2" w:rsidP="00506E1B">
      <w:pPr>
        <w:pStyle w:val="1"/>
        <w:tabs>
          <w:tab w:val="left" w:pos="9781"/>
        </w:tabs>
        <w:ind w:left="143"/>
        <w:jc w:val="both"/>
      </w:pPr>
      <w:r>
        <w:t>В И</w:t>
      </w:r>
      <w:r>
        <w:rPr>
          <w:spacing w:val="-2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Ш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rPr>
          <w:spacing w:val="-5"/>
        </w:rPr>
        <w:t>А:</w:t>
      </w:r>
    </w:p>
    <w:p w14:paraId="5C753403" w14:textId="77777777" w:rsidR="00124A2F" w:rsidRDefault="00124A2F" w:rsidP="00506E1B">
      <w:pPr>
        <w:pStyle w:val="a3"/>
        <w:tabs>
          <w:tab w:val="left" w:pos="9781"/>
        </w:tabs>
        <w:spacing w:before="110"/>
        <w:rPr>
          <w:b/>
        </w:rPr>
      </w:pPr>
    </w:p>
    <w:p w14:paraId="1759422A" w14:textId="77777777" w:rsidR="00124A2F" w:rsidRDefault="001308F2" w:rsidP="00506E1B">
      <w:pPr>
        <w:pStyle w:val="a4"/>
        <w:numPr>
          <w:ilvl w:val="0"/>
          <w:numId w:val="1"/>
        </w:numPr>
        <w:tabs>
          <w:tab w:val="left" w:pos="1581"/>
          <w:tab w:val="left" w:pos="9781"/>
        </w:tabs>
        <w:spacing w:line="247" w:lineRule="auto"/>
        <w:ind w:firstLine="556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до Комплексної програми розвитку цивільного захисту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територіальної громади на 2021-2025 роки (далі- Програма), затвердженої рішенням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від 15 грудня 2020 року №31, в редакції наказу начальника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військової адміністрації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 w:rsidR="00171C06">
        <w:rPr>
          <w:sz w:val="28"/>
        </w:rPr>
        <w:t>червня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171C06"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року</w:t>
      </w:r>
      <w:r>
        <w:rPr>
          <w:spacing w:val="-5"/>
          <w:sz w:val="28"/>
        </w:rPr>
        <w:t xml:space="preserve"> </w:t>
      </w:r>
      <w:r>
        <w:rPr>
          <w:sz w:val="28"/>
        </w:rPr>
        <w:t>№3</w:t>
      </w:r>
      <w:r w:rsidR="00171C06"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змін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Комплексної програми розвитку цивільного захисту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територіальної громади», виклавши її в новій редакції №1440-ПР-23 (додається).</w:t>
      </w:r>
    </w:p>
    <w:p w14:paraId="564C0E63" w14:textId="77777777" w:rsidR="00124A2F" w:rsidRDefault="00124A2F" w:rsidP="00506E1B">
      <w:pPr>
        <w:pStyle w:val="a3"/>
        <w:tabs>
          <w:tab w:val="left" w:pos="9781"/>
        </w:tabs>
        <w:spacing w:before="194"/>
      </w:pPr>
    </w:p>
    <w:p w14:paraId="3ED0D098" w14:textId="77777777" w:rsidR="00124A2F" w:rsidRDefault="001308F2" w:rsidP="00506E1B">
      <w:pPr>
        <w:pStyle w:val="a4"/>
        <w:numPr>
          <w:ilvl w:val="0"/>
          <w:numId w:val="1"/>
        </w:numPr>
        <w:tabs>
          <w:tab w:val="left" w:pos="1581"/>
          <w:tab w:val="left" w:pos="9781"/>
        </w:tabs>
        <w:spacing w:line="247" w:lineRule="auto"/>
        <w:ind w:right="143" w:firstLine="556"/>
        <w:rPr>
          <w:sz w:val="28"/>
        </w:rPr>
      </w:pPr>
      <w:r>
        <w:rPr>
          <w:sz w:val="28"/>
        </w:rPr>
        <w:t>Контроль за виконанням цього рішення покласти на першого заступника міського голови та постійну комісію з питань бюджету, фінансів, економічного розвитку та інвестиційної політики.</w:t>
      </w:r>
    </w:p>
    <w:p w14:paraId="6BDF2EE2" w14:textId="77777777" w:rsidR="00124A2F" w:rsidRDefault="00124A2F" w:rsidP="00506E1B">
      <w:pPr>
        <w:pStyle w:val="a3"/>
        <w:tabs>
          <w:tab w:val="left" w:pos="9781"/>
        </w:tabs>
        <w:spacing w:before="188"/>
      </w:pPr>
    </w:p>
    <w:p w14:paraId="6C1681DF" w14:textId="77777777" w:rsidR="00124A2F" w:rsidRDefault="001308F2" w:rsidP="00506E1B">
      <w:pPr>
        <w:pStyle w:val="a3"/>
        <w:tabs>
          <w:tab w:val="left" w:pos="9781"/>
        </w:tabs>
        <w:ind w:left="143"/>
        <w:jc w:val="both"/>
      </w:pPr>
      <w:r>
        <w:t>Додаток:</w:t>
      </w:r>
      <w:r>
        <w:rPr>
          <w:spacing w:val="-11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№1440-ПР-</w:t>
      </w:r>
      <w:r>
        <w:rPr>
          <w:spacing w:val="-5"/>
        </w:rPr>
        <w:t>23.</w:t>
      </w:r>
    </w:p>
    <w:p w14:paraId="368125E6" w14:textId="77777777" w:rsidR="00124A2F" w:rsidRDefault="00124A2F" w:rsidP="00506E1B">
      <w:pPr>
        <w:pStyle w:val="a3"/>
        <w:tabs>
          <w:tab w:val="left" w:pos="9781"/>
        </w:tabs>
      </w:pPr>
    </w:p>
    <w:p w14:paraId="1397B2F6" w14:textId="77777777" w:rsidR="00124A2F" w:rsidRDefault="00124A2F" w:rsidP="00506E1B">
      <w:pPr>
        <w:pStyle w:val="a3"/>
        <w:tabs>
          <w:tab w:val="left" w:pos="9781"/>
        </w:tabs>
        <w:spacing w:before="61"/>
      </w:pPr>
    </w:p>
    <w:p w14:paraId="3DB94901" w14:textId="77777777" w:rsidR="00124A2F" w:rsidRDefault="001308F2" w:rsidP="00506E1B">
      <w:pPr>
        <w:pStyle w:val="a3"/>
        <w:tabs>
          <w:tab w:val="left" w:pos="6974"/>
          <w:tab w:val="left" w:pos="9781"/>
        </w:tabs>
        <w:ind w:left="128"/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Олександр</w:t>
      </w:r>
      <w:r>
        <w:rPr>
          <w:spacing w:val="-4"/>
        </w:rPr>
        <w:t xml:space="preserve"> </w:t>
      </w:r>
      <w:r>
        <w:rPr>
          <w:spacing w:val="-2"/>
        </w:rPr>
        <w:t>МЕНЗУЛ</w:t>
      </w:r>
    </w:p>
    <w:sectPr w:rsidR="00124A2F" w:rsidSect="00506E1B">
      <w:footerReference w:type="default" r:id="rId8"/>
      <w:pgSz w:w="11910" w:h="16840"/>
      <w:pgMar w:top="480" w:right="425" w:bottom="1985" w:left="1701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6563" w14:textId="77777777" w:rsidR="00707CAC" w:rsidRDefault="00707CAC">
      <w:r>
        <w:separator/>
      </w:r>
    </w:p>
  </w:endnote>
  <w:endnote w:type="continuationSeparator" w:id="0">
    <w:p w14:paraId="14B85BBF" w14:textId="77777777" w:rsidR="00707CAC" w:rsidRDefault="007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0BC" w14:textId="77777777" w:rsidR="00124A2F" w:rsidRDefault="00124A2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5F39" w14:textId="77777777" w:rsidR="00707CAC" w:rsidRDefault="00707CAC">
      <w:r>
        <w:separator/>
      </w:r>
    </w:p>
  </w:footnote>
  <w:footnote w:type="continuationSeparator" w:id="0">
    <w:p w14:paraId="4B6F34F2" w14:textId="77777777" w:rsidR="00707CAC" w:rsidRDefault="0070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318CC"/>
    <w:multiLevelType w:val="hybridMultilevel"/>
    <w:tmpl w:val="F162D7F4"/>
    <w:lvl w:ilvl="0" w:tplc="239C6930">
      <w:start w:val="1"/>
      <w:numFmt w:val="decimal"/>
      <w:lvlText w:val="%1."/>
      <w:lvlJc w:val="left"/>
      <w:pPr>
        <w:ind w:left="143" w:hanging="8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33642F4">
      <w:numFmt w:val="bullet"/>
      <w:lvlText w:val="•"/>
      <w:lvlJc w:val="left"/>
      <w:pPr>
        <w:ind w:left="1118" w:hanging="884"/>
      </w:pPr>
      <w:rPr>
        <w:rFonts w:hint="default"/>
        <w:lang w:val="uk-UA" w:eastAsia="en-US" w:bidi="ar-SA"/>
      </w:rPr>
    </w:lvl>
    <w:lvl w:ilvl="2" w:tplc="F6E8A60A">
      <w:numFmt w:val="bullet"/>
      <w:lvlText w:val="•"/>
      <w:lvlJc w:val="left"/>
      <w:pPr>
        <w:ind w:left="2096" w:hanging="884"/>
      </w:pPr>
      <w:rPr>
        <w:rFonts w:hint="default"/>
        <w:lang w:val="uk-UA" w:eastAsia="en-US" w:bidi="ar-SA"/>
      </w:rPr>
    </w:lvl>
    <w:lvl w:ilvl="3" w:tplc="66B83FDE">
      <w:numFmt w:val="bullet"/>
      <w:lvlText w:val="•"/>
      <w:lvlJc w:val="left"/>
      <w:pPr>
        <w:ind w:left="3074" w:hanging="884"/>
      </w:pPr>
      <w:rPr>
        <w:rFonts w:hint="default"/>
        <w:lang w:val="uk-UA" w:eastAsia="en-US" w:bidi="ar-SA"/>
      </w:rPr>
    </w:lvl>
    <w:lvl w:ilvl="4" w:tplc="7BD0591E">
      <w:numFmt w:val="bullet"/>
      <w:lvlText w:val="•"/>
      <w:lvlJc w:val="left"/>
      <w:pPr>
        <w:ind w:left="4052" w:hanging="884"/>
      </w:pPr>
      <w:rPr>
        <w:rFonts w:hint="default"/>
        <w:lang w:val="uk-UA" w:eastAsia="en-US" w:bidi="ar-SA"/>
      </w:rPr>
    </w:lvl>
    <w:lvl w:ilvl="5" w:tplc="38429D8C">
      <w:numFmt w:val="bullet"/>
      <w:lvlText w:val="•"/>
      <w:lvlJc w:val="left"/>
      <w:pPr>
        <w:ind w:left="5031" w:hanging="884"/>
      </w:pPr>
      <w:rPr>
        <w:rFonts w:hint="default"/>
        <w:lang w:val="uk-UA" w:eastAsia="en-US" w:bidi="ar-SA"/>
      </w:rPr>
    </w:lvl>
    <w:lvl w:ilvl="6" w:tplc="87F421F0">
      <w:numFmt w:val="bullet"/>
      <w:lvlText w:val="•"/>
      <w:lvlJc w:val="left"/>
      <w:pPr>
        <w:ind w:left="6009" w:hanging="884"/>
      </w:pPr>
      <w:rPr>
        <w:rFonts w:hint="default"/>
        <w:lang w:val="uk-UA" w:eastAsia="en-US" w:bidi="ar-SA"/>
      </w:rPr>
    </w:lvl>
    <w:lvl w:ilvl="7" w:tplc="72FA6476">
      <w:numFmt w:val="bullet"/>
      <w:lvlText w:val="•"/>
      <w:lvlJc w:val="left"/>
      <w:pPr>
        <w:ind w:left="6987" w:hanging="884"/>
      </w:pPr>
      <w:rPr>
        <w:rFonts w:hint="default"/>
        <w:lang w:val="uk-UA" w:eastAsia="en-US" w:bidi="ar-SA"/>
      </w:rPr>
    </w:lvl>
    <w:lvl w:ilvl="8" w:tplc="6F4AEDA4">
      <w:numFmt w:val="bullet"/>
      <w:lvlText w:val="•"/>
      <w:lvlJc w:val="left"/>
      <w:pPr>
        <w:ind w:left="7965" w:hanging="884"/>
      </w:pPr>
      <w:rPr>
        <w:rFonts w:hint="default"/>
        <w:lang w:val="uk-UA" w:eastAsia="en-US" w:bidi="ar-SA"/>
      </w:rPr>
    </w:lvl>
  </w:abstractNum>
  <w:num w:numId="1" w16cid:durableId="16742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2F"/>
    <w:rsid w:val="000633F3"/>
    <w:rsid w:val="00070F4D"/>
    <w:rsid w:val="00076916"/>
    <w:rsid w:val="0009388D"/>
    <w:rsid w:val="000F69C8"/>
    <w:rsid w:val="00120B55"/>
    <w:rsid w:val="00124A2F"/>
    <w:rsid w:val="001308F2"/>
    <w:rsid w:val="00171C06"/>
    <w:rsid w:val="00171DCA"/>
    <w:rsid w:val="001C178A"/>
    <w:rsid w:val="001F0A44"/>
    <w:rsid w:val="00257774"/>
    <w:rsid w:val="00257F8D"/>
    <w:rsid w:val="002658BF"/>
    <w:rsid w:val="00395A9E"/>
    <w:rsid w:val="004415F9"/>
    <w:rsid w:val="00506E1B"/>
    <w:rsid w:val="00552E77"/>
    <w:rsid w:val="005B04F3"/>
    <w:rsid w:val="006465D7"/>
    <w:rsid w:val="006D7713"/>
    <w:rsid w:val="00707CAC"/>
    <w:rsid w:val="008D6310"/>
    <w:rsid w:val="008F4365"/>
    <w:rsid w:val="00956771"/>
    <w:rsid w:val="00993DB1"/>
    <w:rsid w:val="009F3D5B"/>
    <w:rsid w:val="00A1057F"/>
    <w:rsid w:val="00A8312E"/>
    <w:rsid w:val="00AD0FE5"/>
    <w:rsid w:val="00B01D22"/>
    <w:rsid w:val="00B261B1"/>
    <w:rsid w:val="00BD1C0E"/>
    <w:rsid w:val="00BE1B87"/>
    <w:rsid w:val="00BE4F0E"/>
    <w:rsid w:val="00C317B4"/>
    <w:rsid w:val="00CF588F"/>
    <w:rsid w:val="00D33795"/>
    <w:rsid w:val="00DF2E11"/>
    <w:rsid w:val="00EF0F42"/>
    <w:rsid w:val="00F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7DC12"/>
  <w15:docId w15:val="{093C2587-B7C5-4572-95FC-6C50FCFE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5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0F4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F4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070F4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0F4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Інна Наумчук</cp:lastModifiedBy>
  <cp:revision>2</cp:revision>
  <cp:lastPrinted>2025-08-21T09:35:00Z</cp:lastPrinted>
  <dcterms:created xsi:type="dcterms:W3CDTF">2025-08-22T09:17:00Z</dcterms:created>
  <dcterms:modified xsi:type="dcterms:W3CDTF">2025-08-22T09:17:00Z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