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D9" w:rsidRDefault="00C8085D">
      <w:bookmarkStart w:id="0" w:name="_GoBack"/>
      <w:r>
        <w:rPr>
          <w:noProof/>
          <w:lang w:eastAsia="ru-RU"/>
        </w:rPr>
        <w:drawing>
          <wp:inline distT="0" distB="0" distL="0" distR="0" wp14:anchorId="36895A6A" wp14:editId="5630DEC8">
            <wp:extent cx="9595262" cy="6448301"/>
            <wp:effectExtent l="0" t="0" r="444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938D9" w:rsidSect="002432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A6"/>
    <w:rsid w:val="000174F8"/>
    <w:rsid w:val="00243239"/>
    <w:rsid w:val="004C22A6"/>
    <w:rsid w:val="006938D9"/>
    <w:rsid w:val="006A0593"/>
    <w:rsid w:val="00C8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40;&#1085;&#1072;&#1083;&#1110;&#1079;&#1042;&#1080;&#1076;&#1072;&#1090;&#1082;&#1110;&#1074;\2019\&#1044;&#1110;&#1072;&#1075;&#1088;&#1072;&#1084;&#1080;\&#1044;&#1110;&#1072;&#1075;&#1088;&#1050;&#1088;&#1091;&#1075;01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/>
            </a:pPr>
            <a:r>
              <a:rPr lang="ru-RU" sz="2000" b="1" i="0" baseline="0">
                <a:effectLst/>
              </a:rPr>
              <a:t>Питома вага видатків бюджету м.Вараш за І півріччя 2019р. </a:t>
            </a:r>
            <a:endParaRPr lang="ru-RU" sz="2000" baseline="0">
              <a:effectLst/>
            </a:endParaRPr>
          </a:p>
          <a:p>
            <a:pPr>
              <a:defRPr sz="1800"/>
            </a:pPr>
            <a:endParaRPr lang="ru-RU" sz="2000">
              <a:effectLst/>
            </a:endParaRPr>
          </a:p>
        </c:rich>
      </c:tx>
      <c:layout>
        <c:manualLayout>
          <c:xMode val="edge"/>
          <c:yMode val="edge"/>
          <c:x val="0.12817041979849061"/>
          <c:y val="3.0264257606921999E-4"/>
        </c:manualLayout>
      </c:layout>
      <c:overlay val="0"/>
      <c:spPr>
        <a:effectLst>
          <a:glow rad="228600">
            <a:schemeClr val="accent1">
              <a:satMod val="175000"/>
              <a:alpha val="40000"/>
            </a:schemeClr>
          </a:glow>
        </a:effectLst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829406679351758"/>
          <c:y val="8.9453158504901487E-2"/>
          <c:w val="0.66356390150009736"/>
          <c:h val="0.91054684149509857"/>
        </c:manualLayout>
      </c:layout>
      <c:pie3DChart>
        <c:varyColors val="1"/>
        <c:ser>
          <c:idx val="0"/>
          <c:order val="0"/>
          <c:explosion val="28"/>
          <c:dPt>
            <c:idx val="6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3.2901661438670224E-2"/>
                  <c:y val="-2.70569156191809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Соціальний захист та соціальне забезпечення -   41,4 млн.грн </a:t>
                    </a:r>
                  </a:p>
                  <a:p>
                    <a:r>
                      <a:rPr lang="ru-RU"/>
                      <a:t>15%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1"/>
              <c:layout>
                <c:manualLayout>
                  <c:x val="-0.16331779237736088"/>
                  <c:y val="0.1813565412635126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Освіта - 118,6 млн.грн 43%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2"/>
              <c:layout>
                <c:manualLayout>
                  <c:x val="0.10033467518634258"/>
                  <c:y val="7.05582962805149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 і мистецтво -  3,4 млн.грн 1,2%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3"/>
              <c:layout>
                <c:manualLayout>
                  <c:x val="-0.17535095050166949"/>
                  <c:y val="5.23165961080181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Фізична культура і спорт -1,2 млн.грн 0,4%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4"/>
              <c:layout>
                <c:manualLayout>
                  <c:x val="-0.19380675389873947"/>
                  <c:y val="1.77293283533652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Державне управління -28,6 млн.грн 10,4%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5"/>
              <c:layout>
                <c:manualLayout>
                  <c:x val="-0.11326877541305083"/>
                  <c:y val="6.114412036575447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ЖКГ - 19,1 млн.грн 6,9%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6"/>
              <c:layout>
                <c:manualLayout>
                  <c:x val="-0.11440137568632332"/>
                  <c:y val="1.49346488730937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Утримання та розвиток доріг -  1,9 млн.грн 0,7%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7"/>
              <c:layout>
                <c:manualLayout>
                  <c:x val="-0.12101780766990082"/>
                  <c:y val="-7.21573297892971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Реверсна дотація -</a:t>
                    </a:r>
                  </a:p>
                  <a:p>
                    <a:r>
                      <a:rPr lang="ru-RU"/>
                      <a:t>28,2 млн.грн 10,2%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8"/>
              <c:layout>
                <c:manualLayout>
                  <c:x val="-0.19572956101108827"/>
                  <c:y val="3.51750677932018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Інші субвенції з місцевого бюджету -                        16,6 млн.грн 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9"/>
              <c:layout>
                <c:manualLayout>
                  <c:x val="-0.12280939349521131"/>
                  <c:y val="-2.490540045527571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Охорона здоров'я - </a:t>
                    </a:r>
                  </a:p>
                  <a:p>
                    <a:r>
                      <a:rPr lang="ru-RU"/>
                      <a:t>32 млн.грн  11,6%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dLbl>
              <c:idx val="10"/>
              <c:layout>
                <c:manualLayout>
                  <c:x val="-0.11779674033034765"/>
                  <c:y val="-3.3104958684403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Інші видатки - </a:t>
                    </a:r>
                  </a:p>
                  <a:p>
                    <a:r>
                      <a:rPr lang="ru-RU"/>
                      <a:t>1,1 млн.грн;   0,4%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млн.грн</c:separator>
            </c:dLbl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млн.грн</c:separator>
            <c:showLeaderLines val="1"/>
          </c:dLbls>
          <c:cat>
            <c:strRef>
              <c:f>'Галузі 01.07'!$A$2:$A$12</c:f>
              <c:strCache>
                <c:ptCount val="11"/>
                <c:pt idx="0">
                  <c:v>Соціальний захист та соціальне забезпечення</c:v>
                </c:pt>
                <c:pt idx="1">
                  <c:v>Освіта </c:v>
                </c:pt>
                <c:pt idx="2">
                  <c:v>Культура і мистецтво</c:v>
                </c:pt>
                <c:pt idx="3">
                  <c:v>Фізична культура і спорт</c:v>
                </c:pt>
                <c:pt idx="4">
                  <c:v>Державне управління</c:v>
                </c:pt>
                <c:pt idx="5">
                  <c:v>ЖКГ</c:v>
                </c:pt>
                <c:pt idx="6">
                  <c:v>Утримання та розвиток доріг </c:v>
                </c:pt>
                <c:pt idx="7">
                  <c:v>Реверсна дотація</c:v>
                </c:pt>
                <c:pt idx="9">
                  <c:v>Охорона здоров'я </c:v>
                </c:pt>
                <c:pt idx="10">
                  <c:v>Інші видатки</c:v>
                </c:pt>
              </c:strCache>
            </c:strRef>
          </c:cat>
          <c:val>
            <c:numRef>
              <c:f>'Галузі 01.07'!$B$2:$B$12</c:f>
              <c:numCache>
                <c:formatCode>General</c:formatCode>
                <c:ptCount val="11"/>
                <c:pt idx="0">
                  <c:v>41.4</c:v>
                </c:pt>
                <c:pt idx="1">
                  <c:v>118.6</c:v>
                </c:pt>
                <c:pt idx="2" formatCode="0.0">
                  <c:v>3.4</c:v>
                </c:pt>
                <c:pt idx="3">
                  <c:v>1.2</c:v>
                </c:pt>
                <c:pt idx="4">
                  <c:v>28.6</c:v>
                </c:pt>
                <c:pt idx="5">
                  <c:v>19.100000000000001</c:v>
                </c:pt>
                <c:pt idx="6">
                  <c:v>1.9</c:v>
                </c:pt>
                <c:pt idx="7">
                  <c:v>28.2</c:v>
                </c:pt>
                <c:pt idx="9">
                  <c:v>32</c:v>
                </c:pt>
                <c:pt idx="10" formatCode="0.0">
                  <c:v>1.1000000000000298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0.51941</cdr:x>
      <cdr:y>0.35652</cdr:y>
    </cdr:from>
    <cdr:to>
      <cdr:x>0.78042</cdr:x>
      <cdr:y>0.56432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90535" y="1952415"/>
          <a:ext cx="2357120" cy="11379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0.52503</cdr:x>
      <cdr:y>0.39734</cdr:y>
    </cdr:from>
    <cdr:to>
      <cdr:x>0.81305</cdr:x>
      <cdr:y>0.53649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741335" y="2175935"/>
          <a:ext cx="2600960" cy="7620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prst="angle"/>
        </a:sp3d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600" b="1"/>
            <a:t>Загальна сума видатків  бюджету - 275,5 млн.грн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2019-08-14T05:48:00Z</dcterms:created>
  <dcterms:modified xsi:type="dcterms:W3CDTF">2019-08-14T05:48:00Z</dcterms:modified>
</cp:coreProperties>
</file>