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68520" w14:textId="77777777" w:rsidR="00E3717B" w:rsidRDefault="00E3717B" w:rsidP="00E3717B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14:paraId="0F4DBE92" w14:textId="77777777" w:rsidR="00E3717B" w:rsidRPr="00245CC5" w:rsidRDefault="00E3717B" w:rsidP="00E3717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ЗВІТ ПРО </w:t>
      </w:r>
      <w:r w:rsidRPr="00245CC5">
        <w:rPr>
          <w:rFonts w:ascii="Times New Roman" w:hAnsi="Times New Roman"/>
          <w:b/>
          <w:sz w:val="26"/>
          <w:szCs w:val="26"/>
        </w:rPr>
        <w:t>ВІДСТЕЖЕННЯ  РЕЗУЛЬТАТИВНОСТІ</w:t>
      </w:r>
    </w:p>
    <w:p w14:paraId="3494A562" w14:textId="77777777" w:rsidR="00E3717B" w:rsidRDefault="00E3717B" w:rsidP="00E3717B">
      <w:pPr>
        <w:jc w:val="center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>РЕГУЛЯТОРНОГО  АКТА</w:t>
      </w:r>
    </w:p>
    <w:p w14:paraId="45996460" w14:textId="77777777" w:rsidR="00E3717B" w:rsidRDefault="00E3717B" w:rsidP="00E3717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</w:t>
      </w:r>
      <w:r w:rsidRPr="00F40BBA">
        <w:rPr>
          <w:rFonts w:ascii="Times New Roman" w:hAnsi="Times New Roman"/>
          <w:b/>
          <w:sz w:val="26"/>
          <w:szCs w:val="26"/>
        </w:rPr>
        <w:t>7200-СЗ-12-22</w:t>
      </w:r>
    </w:p>
    <w:p w14:paraId="28AC88D0" w14:textId="77777777" w:rsidR="00E3717B" w:rsidRPr="00245CC5" w:rsidRDefault="00E3717B" w:rsidP="00E3717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E094BC1" w14:textId="77777777" w:rsidR="00E3717B" w:rsidRPr="007D4DD7" w:rsidRDefault="00E3717B" w:rsidP="00E3717B">
      <w:pPr>
        <w:spacing w:after="240"/>
        <w:ind w:firstLine="567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>м. Вараш</w:t>
      </w:r>
      <w:r w:rsidRPr="00245CC5">
        <w:rPr>
          <w:rFonts w:ascii="Times New Roman" w:hAnsi="Times New Roman"/>
          <w:b/>
          <w:sz w:val="26"/>
          <w:szCs w:val="26"/>
        </w:rPr>
        <w:tab/>
      </w:r>
      <w:r w:rsidRPr="00245CC5">
        <w:rPr>
          <w:rFonts w:ascii="Times New Roman" w:hAnsi="Times New Roman"/>
          <w:b/>
          <w:sz w:val="26"/>
          <w:szCs w:val="26"/>
        </w:rPr>
        <w:tab/>
      </w:r>
      <w:r w:rsidRPr="00245CC5">
        <w:rPr>
          <w:rFonts w:ascii="Times New Roman" w:hAnsi="Times New Roman"/>
          <w:b/>
          <w:sz w:val="26"/>
          <w:szCs w:val="26"/>
        </w:rPr>
        <w:tab/>
      </w:r>
      <w:r w:rsidRPr="00245CC5">
        <w:rPr>
          <w:rFonts w:ascii="Times New Roman" w:hAnsi="Times New Roman"/>
          <w:b/>
          <w:sz w:val="26"/>
          <w:szCs w:val="26"/>
        </w:rPr>
        <w:tab/>
        <w:t xml:space="preserve">                                </w:t>
      </w:r>
      <w:r w:rsidRPr="00245CC5">
        <w:rPr>
          <w:rFonts w:ascii="Times New Roman" w:hAnsi="Times New Roman"/>
          <w:b/>
          <w:sz w:val="26"/>
          <w:szCs w:val="26"/>
        </w:rPr>
        <w:tab/>
      </w:r>
      <w:r w:rsidRPr="007D4DD7"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 xml:space="preserve">05 серпня </w:t>
      </w:r>
      <w:r w:rsidRPr="007D4DD7">
        <w:rPr>
          <w:rFonts w:ascii="Times New Roman" w:hAnsi="Times New Roman"/>
          <w:b/>
          <w:sz w:val="26"/>
          <w:szCs w:val="26"/>
        </w:rPr>
        <w:t>202</w:t>
      </w:r>
      <w:r>
        <w:rPr>
          <w:rFonts w:ascii="Times New Roman" w:hAnsi="Times New Roman"/>
          <w:b/>
          <w:sz w:val="26"/>
          <w:szCs w:val="26"/>
        </w:rPr>
        <w:t>2</w:t>
      </w:r>
      <w:r w:rsidRPr="007D4DD7">
        <w:rPr>
          <w:rFonts w:ascii="Times New Roman" w:hAnsi="Times New Roman"/>
          <w:b/>
          <w:sz w:val="26"/>
          <w:szCs w:val="26"/>
        </w:rPr>
        <w:t xml:space="preserve"> року</w:t>
      </w:r>
    </w:p>
    <w:p w14:paraId="45AC3428" w14:textId="77777777" w:rsidR="00E3717B" w:rsidRPr="00F56295" w:rsidRDefault="00E3717B" w:rsidP="00E3717B">
      <w:pPr>
        <w:ind w:firstLine="567"/>
        <w:rPr>
          <w:rFonts w:ascii="Times New Roman" w:hAnsi="Times New Roman"/>
          <w:b/>
          <w:sz w:val="26"/>
          <w:szCs w:val="26"/>
        </w:rPr>
      </w:pPr>
      <w:r w:rsidRPr="00F56295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F56295">
        <w:rPr>
          <w:rFonts w:ascii="Times New Roman" w:hAnsi="Times New Roman"/>
          <w:b/>
          <w:sz w:val="26"/>
          <w:szCs w:val="26"/>
        </w:rPr>
        <w:t xml:space="preserve">Вид та назва регуляторного </w:t>
      </w:r>
      <w:proofErr w:type="spellStart"/>
      <w:r w:rsidRPr="00F56295">
        <w:rPr>
          <w:rFonts w:ascii="Times New Roman" w:hAnsi="Times New Roman"/>
          <w:b/>
          <w:sz w:val="26"/>
          <w:szCs w:val="26"/>
        </w:rPr>
        <w:t>акта</w:t>
      </w:r>
      <w:proofErr w:type="spellEnd"/>
    </w:p>
    <w:p w14:paraId="7A59C4E9" w14:textId="77777777" w:rsidR="00E3717B" w:rsidRPr="001601E9" w:rsidRDefault="00E3717B" w:rsidP="00E3717B">
      <w:pPr>
        <w:spacing w:after="240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_Hlk110506083"/>
      <w:r w:rsidRPr="001601E9">
        <w:rPr>
          <w:rFonts w:ascii="Times New Roman" w:hAnsi="Times New Roman"/>
          <w:sz w:val="26"/>
          <w:szCs w:val="26"/>
        </w:rPr>
        <w:t xml:space="preserve">Рішення виконавчого комітету </w:t>
      </w:r>
      <w:proofErr w:type="spellStart"/>
      <w:r w:rsidRPr="001601E9">
        <w:rPr>
          <w:rFonts w:ascii="Times New Roman" w:hAnsi="Times New Roman"/>
          <w:sz w:val="26"/>
          <w:szCs w:val="26"/>
        </w:rPr>
        <w:t>Кузнецовської</w:t>
      </w:r>
      <w:proofErr w:type="spellEnd"/>
      <w:r w:rsidRPr="001601E9">
        <w:rPr>
          <w:rFonts w:ascii="Times New Roman" w:hAnsi="Times New Roman"/>
          <w:sz w:val="26"/>
          <w:szCs w:val="26"/>
        </w:rPr>
        <w:t xml:space="preserve"> міської ради від </w:t>
      </w:r>
      <w:r>
        <w:rPr>
          <w:rFonts w:ascii="Times New Roman" w:hAnsi="Times New Roman"/>
          <w:sz w:val="26"/>
          <w:szCs w:val="26"/>
        </w:rPr>
        <w:t xml:space="preserve">28 липня </w:t>
      </w:r>
      <w:r w:rsidRPr="001601E9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1</w:t>
      </w:r>
      <w:r w:rsidRPr="001601E9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157</w:t>
      </w:r>
      <w:r w:rsidRPr="001601E9">
        <w:rPr>
          <w:rFonts w:ascii="Times New Roman" w:hAnsi="Times New Roman"/>
          <w:sz w:val="26"/>
          <w:szCs w:val="26"/>
        </w:rPr>
        <w:t xml:space="preserve"> «</w:t>
      </w:r>
      <w:r w:rsidRPr="00FF5F26">
        <w:rPr>
          <w:rFonts w:ascii="Times New Roman" w:hAnsi="Times New Roman"/>
          <w:sz w:val="26"/>
          <w:szCs w:val="26"/>
        </w:rPr>
        <w:t>Про затвердження Порядку встановлення тарифів на перевезення пасажирів на міських автобусних маршрутах загального користування</w:t>
      </w:r>
      <w:r w:rsidRPr="001601E9">
        <w:rPr>
          <w:rFonts w:ascii="Times New Roman" w:hAnsi="Times New Roman"/>
          <w:sz w:val="26"/>
          <w:szCs w:val="26"/>
        </w:rPr>
        <w:t>».</w:t>
      </w:r>
    </w:p>
    <w:bookmarkEnd w:id="1"/>
    <w:p w14:paraId="60E40B70" w14:textId="77777777" w:rsidR="00E3717B" w:rsidRPr="00245CC5" w:rsidRDefault="00E3717B" w:rsidP="00E3717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 xml:space="preserve">2.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45CC5">
        <w:rPr>
          <w:rFonts w:ascii="Times New Roman" w:hAnsi="Times New Roman"/>
          <w:b/>
          <w:sz w:val="26"/>
          <w:szCs w:val="26"/>
        </w:rPr>
        <w:t>Назва виконавця заходів з відстеження</w:t>
      </w:r>
    </w:p>
    <w:p w14:paraId="2797BE00" w14:textId="77777777" w:rsidR="00E3717B" w:rsidRPr="00245CC5" w:rsidRDefault="00E3717B" w:rsidP="00E3717B">
      <w:pPr>
        <w:spacing w:after="24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Управління економіки та розвитку громади</w:t>
      </w:r>
      <w:r w:rsidRPr="00245CC5">
        <w:rPr>
          <w:rFonts w:ascii="Times New Roman" w:hAnsi="Times New Roman"/>
          <w:sz w:val="26"/>
          <w:szCs w:val="26"/>
        </w:rPr>
        <w:t xml:space="preserve"> виконавчого комітету Вараської міської ради</w:t>
      </w:r>
      <w:r>
        <w:rPr>
          <w:rFonts w:ascii="Times New Roman" w:hAnsi="Times New Roman"/>
          <w:sz w:val="26"/>
          <w:szCs w:val="26"/>
        </w:rPr>
        <w:t>.</w:t>
      </w:r>
      <w:r w:rsidRPr="00245CC5">
        <w:rPr>
          <w:rFonts w:ascii="Times New Roman" w:hAnsi="Times New Roman"/>
          <w:sz w:val="26"/>
          <w:szCs w:val="26"/>
        </w:rPr>
        <w:t xml:space="preserve"> </w:t>
      </w:r>
    </w:p>
    <w:p w14:paraId="0360D893" w14:textId="77777777" w:rsidR="00E3717B" w:rsidRPr="00245CC5" w:rsidRDefault="00E3717B" w:rsidP="00E3717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 xml:space="preserve">3. Цілі прийняття </w:t>
      </w:r>
      <w:proofErr w:type="spellStart"/>
      <w:r w:rsidRPr="00245CC5">
        <w:rPr>
          <w:rFonts w:ascii="Times New Roman" w:hAnsi="Times New Roman"/>
          <w:b/>
          <w:sz w:val="26"/>
          <w:szCs w:val="26"/>
        </w:rPr>
        <w:t>акта</w:t>
      </w:r>
      <w:proofErr w:type="spellEnd"/>
    </w:p>
    <w:p w14:paraId="35613953" w14:textId="77777777" w:rsidR="00E3717B" w:rsidRDefault="00E3717B" w:rsidP="00E3717B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Основними цілями прийняття регуляторного </w:t>
      </w:r>
      <w:proofErr w:type="spellStart"/>
      <w:r>
        <w:rPr>
          <w:rFonts w:ascii="Times New Roman" w:hAnsi="Times New Roman"/>
          <w:sz w:val="26"/>
          <w:szCs w:val="26"/>
        </w:rPr>
        <w:t>акта</w:t>
      </w:r>
      <w:proofErr w:type="spellEnd"/>
      <w:r>
        <w:rPr>
          <w:rFonts w:ascii="Times New Roman" w:hAnsi="Times New Roman"/>
          <w:sz w:val="26"/>
          <w:szCs w:val="26"/>
        </w:rPr>
        <w:t xml:space="preserve"> є:</w:t>
      </w:r>
    </w:p>
    <w:p w14:paraId="6DE0E849" w14:textId="77777777" w:rsidR="00E3717B" w:rsidRPr="00FF5F26" w:rsidRDefault="00E3717B" w:rsidP="00E3717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F5F26">
        <w:rPr>
          <w:rFonts w:ascii="Times New Roman" w:hAnsi="Times New Roman"/>
          <w:sz w:val="26"/>
          <w:szCs w:val="26"/>
        </w:rPr>
        <w:t>-  надання методичної допомоги суб’єктам господарювання всіх форм власності, які надають послуги з перевезення пасажирів на міських автобусних маршрутах загального користування.</w:t>
      </w:r>
    </w:p>
    <w:p w14:paraId="683C2F21" w14:textId="77777777" w:rsidR="00E3717B" w:rsidRPr="00FF5F26" w:rsidRDefault="00E3717B" w:rsidP="00E3717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F5F26">
        <w:rPr>
          <w:rFonts w:ascii="Times New Roman" w:hAnsi="Times New Roman"/>
          <w:sz w:val="26"/>
          <w:szCs w:val="26"/>
        </w:rPr>
        <w:t>-  захисту прав споживачів транспортних послуг (пасажирів) щодо попередження не обґрунтованого  підвищення тарифів та відповідності вартості проїзду якості транспортних послуг;</w:t>
      </w:r>
    </w:p>
    <w:p w14:paraId="67E8F381" w14:textId="77777777" w:rsidR="00E3717B" w:rsidRPr="00FF5F26" w:rsidRDefault="00E3717B" w:rsidP="00E3717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F5F26">
        <w:rPr>
          <w:rFonts w:ascii="Times New Roman" w:hAnsi="Times New Roman"/>
          <w:sz w:val="26"/>
          <w:szCs w:val="26"/>
        </w:rPr>
        <w:t>-     захисту прав перевізників з метою задоволення їх підприємницьких інтересів та забезпечення інвестиційної привабливості ринку пасажирських автомобільних перевезень, в тому числі  у випадках об’єктивних змін умов господарювання (чинників, які впливають на розмір тарифів);</w:t>
      </w:r>
    </w:p>
    <w:p w14:paraId="6ED298FE" w14:textId="77777777" w:rsidR="00E3717B" w:rsidRDefault="00E3717B" w:rsidP="00E3717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F5F26">
        <w:rPr>
          <w:rFonts w:ascii="Times New Roman" w:hAnsi="Times New Roman"/>
          <w:sz w:val="26"/>
          <w:szCs w:val="26"/>
        </w:rPr>
        <w:t xml:space="preserve">- забезпечення сталих умов роботи міського автомобільного транспорту загального користування в місті </w:t>
      </w:r>
      <w:r>
        <w:rPr>
          <w:rFonts w:ascii="Times New Roman" w:hAnsi="Times New Roman"/>
          <w:sz w:val="26"/>
          <w:szCs w:val="26"/>
        </w:rPr>
        <w:t>Вараш</w:t>
      </w:r>
      <w:r w:rsidRPr="00FF5F26">
        <w:rPr>
          <w:rFonts w:ascii="Times New Roman" w:hAnsi="Times New Roman"/>
          <w:sz w:val="26"/>
          <w:szCs w:val="26"/>
        </w:rPr>
        <w:t>.</w:t>
      </w:r>
    </w:p>
    <w:p w14:paraId="20442F27" w14:textId="77777777" w:rsidR="00E3717B" w:rsidRDefault="00E3717B" w:rsidP="00E3717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2D1ADC7" w14:textId="77777777" w:rsidR="00E3717B" w:rsidRPr="00245CC5" w:rsidRDefault="00E3717B" w:rsidP="00E3717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>4. Строк виконання заходів з відстеження.</w:t>
      </w:r>
    </w:p>
    <w:p w14:paraId="7104977D" w14:textId="77777777" w:rsidR="00E3717B" w:rsidRPr="00245CC5" w:rsidRDefault="00E3717B" w:rsidP="00E3717B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45CC5">
        <w:rPr>
          <w:rFonts w:ascii="Times New Roman" w:hAnsi="Times New Roman"/>
          <w:color w:val="000000"/>
          <w:sz w:val="26"/>
          <w:szCs w:val="26"/>
        </w:rPr>
        <w:t>Відповідно  до аналізу регуляторного впливу та ст</w:t>
      </w:r>
      <w:r>
        <w:rPr>
          <w:rFonts w:ascii="Times New Roman" w:hAnsi="Times New Roman"/>
          <w:color w:val="000000"/>
          <w:sz w:val="26"/>
          <w:szCs w:val="26"/>
        </w:rPr>
        <w:t xml:space="preserve">атті </w:t>
      </w:r>
      <w:r w:rsidRPr="00245CC5">
        <w:rPr>
          <w:rFonts w:ascii="Times New Roman" w:hAnsi="Times New Roman"/>
          <w:color w:val="000000"/>
          <w:sz w:val="26"/>
          <w:szCs w:val="26"/>
        </w:rPr>
        <w:t>10 Закону України «Про засади державної регуляторної політики у сфері господарської діяльності».</w:t>
      </w:r>
    </w:p>
    <w:p w14:paraId="58347B56" w14:textId="77777777" w:rsidR="00E3717B" w:rsidRPr="007D4DD7" w:rsidRDefault="00E3717B" w:rsidP="00E3717B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Січень</w:t>
      </w:r>
      <w:r w:rsidRPr="007D4DD7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Pr="007D4DD7">
        <w:rPr>
          <w:rFonts w:ascii="Times New Roman" w:hAnsi="Times New Roman"/>
          <w:sz w:val="26"/>
          <w:szCs w:val="26"/>
        </w:rPr>
        <w:t xml:space="preserve"> року – </w:t>
      </w:r>
      <w:r>
        <w:rPr>
          <w:rFonts w:ascii="Times New Roman" w:hAnsi="Times New Roman"/>
          <w:sz w:val="26"/>
          <w:szCs w:val="26"/>
        </w:rPr>
        <w:t>Серпень</w:t>
      </w:r>
      <w:r w:rsidRPr="007D4DD7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Pr="007D4DD7">
        <w:rPr>
          <w:rFonts w:ascii="Times New Roman" w:hAnsi="Times New Roman"/>
          <w:sz w:val="26"/>
          <w:szCs w:val="26"/>
        </w:rPr>
        <w:t xml:space="preserve"> року.</w:t>
      </w:r>
    </w:p>
    <w:p w14:paraId="706C85DB" w14:textId="77777777" w:rsidR="00E3717B" w:rsidRPr="00245CC5" w:rsidRDefault="00E3717B" w:rsidP="00E3717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E5806D1" w14:textId="77777777" w:rsidR="00E3717B" w:rsidRPr="00245CC5" w:rsidRDefault="00E3717B" w:rsidP="00E3717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>5. Тип відстеження .</w:t>
      </w:r>
    </w:p>
    <w:p w14:paraId="620A34E6" w14:textId="77777777" w:rsidR="00E3717B" w:rsidRPr="00245CC5" w:rsidRDefault="00E3717B" w:rsidP="00E3717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45CC5">
        <w:rPr>
          <w:rFonts w:ascii="Times New Roman" w:hAnsi="Times New Roman"/>
          <w:sz w:val="26"/>
          <w:szCs w:val="26"/>
        </w:rPr>
        <w:t>Періодичне.</w:t>
      </w:r>
    </w:p>
    <w:p w14:paraId="3C9C4581" w14:textId="77777777" w:rsidR="00E3717B" w:rsidRPr="00245CC5" w:rsidRDefault="00E3717B" w:rsidP="00E3717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223398F" w14:textId="77777777" w:rsidR="00E3717B" w:rsidRPr="00245CC5" w:rsidRDefault="00E3717B" w:rsidP="00E3717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>6. Методи одержання результатів відстеження.</w:t>
      </w:r>
    </w:p>
    <w:p w14:paraId="2C63F8AB" w14:textId="77777777" w:rsidR="00E3717B" w:rsidRPr="00245CC5" w:rsidRDefault="00E3717B" w:rsidP="00E3717B">
      <w:pPr>
        <w:spacing w:after="240"/>
        <w:ind w:firstLine="567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245CC5">
        <w:rPr>
          <w:rFonts w:ascii="Times New Roman" w:hAnsi="Times New Roman"/>
          <w:color w:val="000000"/>
          <w:spacing w:val="-1"/>
          <w:sz w:val="26"/>
          <w:szCs w:val="26"/>
        </w:rPr>
        <w:t xml:space="preserve">Для одержання результатів відстеження результативності регуляторного </w:t>
      </w:r>
      <w:proofErr w:type="spellStart"/>
      <w:r w:rsidRPr="00245CC5">
        <w:rPr>
          <w:rFonts w:ascii="Times New Roman" w:hAnsi="Times New Roman"/>
          <w:color w:val="000000"/>
          <w:spacing w:val="-1"/>
          <w:sz w:val="26"/>
          <w:szCs w:val="26"/>
        </w:rPr>
        <w:t>акта</w:t>
      </w:r>
      <w:proofErr w:type="spellEnd"/>
      <w:r w:rsidRPr="00245CC5">
        <w:rPr>
          <w:rFonts w:ascii="Times New Roman" w:hAnsi="Times New Roman"/>
          <w:color w:val="000000"/>
          <w:spacing w:val="-1"/>
          <w:sz w:val="26"/>
          <w:szCs w:val="26"/>
        </w:rPr>
        <w:t xml:space="preserve"> використовується статистичний метод одержання даних, а також дослідження відповідності </w:t>
      </w:r>
      <w:r w:rsidRPr="00245CC5">
        <w:rPr>
          <w:rFonts w:ascii="Times New Roman" w:hAnsi="Times New Roman"/>
          <w:sz w:val="26"/>
          <w:szCs w:val="26"/>
        </w:rPr>
        <w:t>діючому законодавству України.</w:t>
      </w:r>
    </w:p>
    <w:p w14:paraId="12478A2C" w14:textId="77777777" w:rsidR="00E3717B" w:rsidRPr="00245CC5" w:rsidRDefault="00E3717B" w:rsidP="00E3717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>7. Дані та припущення, на основі яких відстежувалася результативність, а також способи одержання даних</w:t>
      </w:r>
    </w:p>
    <w:p w14:paraId="5D8C697D" w14:textId="77777777" w:rsidR="00E3717B" w:rsidRDefault="00E3717B" w:rsidP="00E3717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45CC5">
        <w:rPr>
          <w:rFonts w:ascii="Times New Roman" w:hAnsi="Times New Roman"/>
          <w:sz w:val="26"/>
          <w:szCs w:val="26"/>
        </w:rPr>
        <w:lastRenderedPageBreak/>
        <w:t xml:space="preserve">Враховуючи мету та основні цілі прийняття регуляторного </w:t>
      </w:r>
      <w:proofErr w:type="spellStart"/>
      <w:r w:rsidRPr="00245CC5">
        <w:rPr>
          <w:rFonts w:ascii="Times New Roman" w:hAnsi="Times New Roman"/>
          <w:sz w:val="26"/>
          <w:szCs w:val="26"/>
        </w:rPr>
        <w:t>акта</w:t>
      </w:r>
      <w:proofErr w:type="spellEnd"/>
      <w:r w:rsidRPr="00245CC5">
        <w:rPr>
          <w:rFonts w:ascii="Times New Roman" w:hAnsi="Times New Roman"/>
          <w:sz w:val="26"/>
          <w:szCs w:val="26"/>
        </w:rPr>
        <w:t xml:space="preserve"> для відстеження його результатів визначено такі показники</w:t>
      </w:r>
      <w:r>
        <w:rPr>
          <w:rFonts w:ascii="Times New Roman" w:hAnsi="Times New Roman"/>
          <w:sz w:val="26"/>
          <w:szCs w:val="26"/>
        </w:rPr>
        <w:t>:</w:t>
      </w:r>
    </w:p>
    <w:p w14:paraId="6EB7C064" w14:textId="77777777" w:rsidR="00E3717B" w:rsidRDefault="00E3717B" w:rsidP="00E3717B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D24F3">
        <w:rPr>
          <w:rFonts w:ascii="Times New Roman" w:hAnsi="Times New Roman"/>
          <w:sz w:val="26"/>
          <w:szCs w:val="26"/>
        </w:rPr>
        <w:t>кількість перевізників, які здійснюють перевезення на міських автобусних маршрутах</w:t>
      </w:r>
      <w:r>
        <w:rPr>
          <w:rFonts w:ascii="Times New Roman" w:hAnsi="Times New Roman"/>
          <w:sz w:val="26"/>
          <w:szCs w:val="26"/>
        </w:rPr>
        <w:t>;</w:t>
      </w:r>
    </w:p>
    <w:p w14:paraId="1A5CB052" w14:textId="77777777" w:rsidR="00E3717B" w:rsidRDefault="00E3717B" w:rsidP="00E3717B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D24F3">
        <w:rPr>
          <w:rFonts w:ascii="Times New Roman" w:hAnsi="Times New Roman"/>
          <w:sz w:val="26"/>
          <w:szCs w:val="26"/>
        </w:rPr>
        <w:t xml:space="preserve">кількість звернень </w:t>
      </w:r>
      <w:r>
        <w:rPr>
          <w:rFonts w:ascii="Times New Roman" w:hAnsi="Times New Roman"/>
          <w:sz w:val="26"/>
          <w:szCs w:val="26"/>
        </w:rPr>
        <w:t>щодо</w:t>
      </w:r>
      <w:r w:rsidRPr="003D24F3">
        <w:rPr>
          <w:rFonts w:ascii="Times New Roman" w:hAnsi="Times New Roman"/>
          <w:sz w:val="26"/>
          <w:szCs w:val="26"/>
        </w:rPr>
        <w:t xml:space="preserve"> змін</w:t>
      </w:r>
      <w:r>
        <w:rPr>
          <w:rFonts w:ascii="Times New Roman" w:hAnsi="Times New Roman"/>
          <w:sz w:val="26"/>
          <w:szCs w:val="26"/>
        </w:rPr>
        <w:t>и</w:t>
      </w:r>
      <w:r w:rsidRPr="003D24F3">
        <w:rPr>
          <w:rFonts w:ascii="Times New Roman" w:hAnsi="Times New Roman"/>
          <w:sz w:val="26"/>
          <w:szCs w:val="26"/>
        </w:rPr>
        <w:t xml:space="preserve"> тарифу</w:t>
      </w:r>
      <w:r>
        <w:rPr>
          <w:rFonts w:ascii="Times New Roman" w:hAnsi="Times New Roman"/>
          <w:sz w:val="26"/>
          <w:szCs w:val="26"/>
        </w:rPr>
        <w:t xml:space="preserve"> на перевезення пасажирів на міських автобусних маршрутах загального користування;</w:t>
      </w:r>
    </w:p>
    <w:p w14:paraId="70E4F428" w14:textId="77777777" w:rsidR="00E3717B" w:rsidRDefault="00E3717B" w:rsidP="00E3717B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кількість прийнятих рішень про </w:t>
      </w:r>
      <w:r w:rsidRPr="003D24F3">
        <w:rPr>
          <w:rFonts w:ascii="Times New Roman" w:hAnsi="Times New Roman"/>
          <w:sz w:val="26"/>
          <w:szCs w:val="26"/>
        </w:rPr>
        <w:t>змін</w:t>
      </w:r>
      <w:r>
        <w:rPr>
          <w:rFonts w:ascii="Times New Roman" w:hAnsi="Times New Roman"/>
          <w:sz w:val="26"/>
          <w:szCs w:val="26"/>
        </w:rPr>
        <w:t>у</w:t>
      </w:r>
      <w:r w:rsidRPr="003D24F3">
        <w:rPr>
          <w:rFonts w:ascii="Times New Roman" w:hAnsi="Times New Roman"/>
          <w:sz w:val="26"/>
          <w:szCs w:val="26"/>
        </w:rPr>
        <w:t xml:space="preserve"> тарифу</w:t>
      </w:r>
      <w:r>
        <w:rPr>
          <w:rFonts w:ascii="Times New Roman" w:hAnsi="Times New Roman"/>
          <w:sz w:val="26"/>
          <w:szCs w:val="26"/>
        </w:rPr>
        <w:t xml:space="preserve"> на перевезення пасажирів на міських автобусних маршрутах загального користування.</w:t>
      </w:r>
    </w:p>
    <w:p w14:paraId="1A778F7B" w14:textId="77777777" w:rsidR="00E3717B" w:rsidRPr="003D24F3" w:rsidRDefault="00E3717B" w:rsidP="00E3717B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14:paraId="77C8195A" w14:textId="77777777" w:rsidR="00E3717B" w:rsidRPr="00245CC5" w:rsidRDefault="00E3717B" w:rsidP="00E3717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 xml:space="preserve">8. Кількісні та якісні значення показників результативності </w:t>
      </w:r>
      <w:proofErr w:type="spellStart"/>
      <w:r w:rsidRPr="00245CC5">
        <w:rPr>
          <w:rFonts w:ascii="Times New Roman" w:hAnsi="Times New Roman"/>
          <w:b/>
          <w:sz w:val="26"/>
          <w:szCs w:val="26"/>
        </w:rPr>
        <w:t>акта</w:t>
      </w:r>
      <w:proofErr w:type="spellEnd"/>
    </w:p>
    <w:p w14:paraId="52819053" w14:textId="77777777" w:rsidR="00E3717B" w:rsidRPr="00245CC5" w:rsidRDefault="00E3717B" w:rsidP="00E3717B">
      <w:pPr>
        <w:pStyle w:val="a6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color w:val="000000"/>
          <w:sz w:val="26"/>
          <w:szCs w:val="26"/>
        </w:rPr>
        <w:t xml:space="preserve">Кількісні та якісні показники результативності дії регуляторного </w:t>
      </w:r>
      <w:proofErr w:type="spellStart"/>
      <w:r w:rsidRPr="00245CC5">
        <w:rPr>
          <w:rFonts w:ascii="Times New Roman" w:hAnsi="Times New Roman"/>
          <w:color w:val="000000"/>
          <w:sz w:val="26"/>
          <w:szCs w:val="26"/>
        </w:rPr>
        <w:t>акта</w:t>
      </w:r>
      <w:proofErr w:type="spellEnd"/>
      <w:r w:rsidRPr="00245CC5">
        <w:rPr>
          <w:rFonts w:ascii="Times New Roman" w:hAnsi="Times New Roman"/>
          <w:color w:val="000000"/>
          <w:sz w:val="26"/>
          <w:szCs w:val="26"/>
        </w:rPr>
        <w:t>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107"/>
        <w:gridCol w:w="3837"/>
        <w:gridCol w:w="1913"/>
        <w:gridCol w:w="1449"/>
        <w:gridCol w:w="1327"/>
      </w:tblGrid>
      <w:tr w:rsidR="00E3717B" w:rsidRPr="003D24F3" w14:paraId="0D9BEA47" w14:textId="77777777" w:rsidTr="0068449C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9917" w14:textId="77777777" w:rsidR="00E3717B" w:rsidRPr="003D24F3" w:rsidRDefault="00E3717B" w:rsidP="0068449C">
            <w:pPr>
              <w:pStyle w:val="a6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F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F880" w14:textId="77777777" w:rsidR="00E3717B" w:rsidRPr="003D24F3" w:rsidRDefault="00E3717B" w:rsidP="0068449C">
            <w:pPr>
              <w:pStyle w:val="a6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F3">
              <w:rPr>
                <w:rFonts w:ascii="Times New Roman" w:hAnsi="Times New Roman"/>
                <w:sz w:val="24"/>
                <w:szCs w:val="24"/>
              </w:rPr>
              <w:t>Показник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049D" w14:textId="77777777" w:rsidR="00E3717B" w:rsidRPr="003D24F3" w:rsidRDefault="00E3717B" w:rsidP="0068449C">
            <w:pPr>
              <w:pStyle w:val="a6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F3">
              <w:rPr>
                <w:rFonts w:ascii="Times New Roman" w:hAnsi="Times New Roman"/>
                <w:sz w:val="24"/>
                <w:szCs w:val="24"/>
              </w:rPr>
              <w:t>2019 рік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EB20" w14:textId="77777777" w:rsidR="00E3717B" w:rsidRPr="003D24F3" w:rsidRDefault="00E3717B" w:rsidP="0068449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F3">
              <w:rPr>
                <w:rFonts w:ascii="Times New Roman" w:hAnsi="Times New Roman"/>
                <w:sz w:val="24"/>
                <w:szCs w:val="24"/>
              </w:rPr>
              <w:t>2020 рік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0A4" w14:textId="77777777" w:rsidR="00E3717B" w:rsidRPr="003D24F3" w:rsidRDefault="00E3717B" w:rsidP="0068449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F3">
              <w:rPr>
                <w:rFonts w:ascii="Times New Roman" w:hAnsi="Times New Roman"/>
                <w:sz w:val="24"/>
                <w:szCs w:val="24"/>
              </w:rPr>
              <w:t>2021 рік</w:t>
            </w:r>
          </w:p>
        </w:tc>
      </w:tr>
      <w:tr w:rsidR="00E3717B" w:rsidRPr="003D24F3" w14:paraId="0A8A3F42" w14:textId="77777777" w:rsidTr="0068449C">
        <w:trPr>
          <w:trHeight w:val="8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7033" w14:textId="77777777" w:rsidR="00E3717B" w:rsidRPr="00617BB6" w:rsidRDefault="00E3717B" w:rsidP="0068449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162A" w14:textId="77777777" w:rsidR="00E3717B" w:rsidRPr="003D24F3" w:rsidRDefault="00E3717B" w:rsidP="0068449C">
            <w:pPr>
              <w:pStyle w:val="a6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4F3">
              <w:rPr>
                <w:rFonts w:ascii="Times New Roman" w:hAnsi="Times New Roman"/>
                <w:sz w:val="24"/>
                <w:szCs w:val="24"/>
              </w:rPr>
              <w:t>Кількість перевізників, які здійснюють перевезення на міських автобусних маршрутах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2799" w14:textId="77777777" w:rsidR="00E3717B" w:rsidRPr="003D24F3" w:rsidRDefault="00E3717B" w:rsidP="0068449C">
            <w:pPr>
              <w:pStyle w:val="a6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BFFE" w14:textId="77777777" w:rsidR="00E3717B" w:rsidRPr="003D24F3" w:rsidRDefault="00E3717B" w:rsidP="0068449C">
            <w:pPr>
              <w:pStyle w:val="a6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61F2" w14:textId="77777777" w:rsidR="00E3717B" w:rsidRPr="003D24F3" w:rsidRDefault="00E3717B" w:rsidP="0068449C">
            <w:pPr>
              <w:pStyle w:val="a6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717B" w:rsidRPr="003D24F3" w14:paraId="2330DCD1" w14:textId="77777777" w:rsidTr="0068449C">
        <w:trPr>
          <w:trHeight w:val="10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7F3F" w14:textId="77777777" w:rsidR="00E3717B" w:rsidRPr="00617BB6" w:rsidRDefault="00E3717B" w:rsidP="0068449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17BB6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7D8A" w14:textId="77777777" w:rsidR="00E3717B" w:rsidRPr="003D24F3" w:rsidRDefault="00E3717B" w:rsidP="0068449C">
            <w:pPr>
              <w:pStyle w:val="a6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4F3">
              <w:rPr>
                <w:rFonts w:ascii="Times New Roman" w:hAnsi="Times New Roman"/>
                <w:sz w:val="24"/>
                <w:szCs w:val="24"/>
              </w:rPr>
              <w:t>Кількість звернень щодо змін</w:t>
            </w:r>
            <w:r>
              <w:rPr>
                <w:sz w:val="24"/>
                <w:szCs w:val="24"/>
              </w:rPr>
              <w:t>и</w:t>
            </w:r>
            <w:r w:rsidRPr="003D24F3">
              <w:rPr>
                <w:rFonts w:ascii="Times New Roman" w:hAnsi="Times New Roman"/>
                <w:sz w:val="24"/>
                <w:szCs w:val="24"/>
              </w:rPr>
              <w:t xml:space="preserve"> тарифу на перевезення пасажирів на міських автобусних маршрутах загального користування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CF1B" w14:textId="77777777" w:rsidR="00E3717B" w:rsidRPr="003D24F3" w:rsidRDefault="00E3717B" w:rsidP="0068449C">
            <w:pPr>
              <w:pStyle w:val="a6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0C96" w14:textId="77777777" w:rsidR="00E3717B" w:rsidRPr="003D24F3" w:rsidRDefault="00E3717B" w:rsidP="0068449C">
            <w:pPr>
              <w:pStyle w:val="a6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9ECB" w14:textId="77777777" w:rsidR="00E3717B" w:rsidRPr="003D24F3" w:rsidRDefault="00E3717B" w:rsidP="0068449C">
            <w:pPr>
              <w:pStyle w:val="a6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717B" w:rsidRPr="003D24F3" w14:paraId="342CCF60" w14:textId="77777777" w:rsidTr="0068449C">
        <w:trPr>
          <w:trHeight w:val="10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F633" w14:textId="77777777" w:rsidR="00E3717B" w:rsidRPr="00617BB6" w:rsidRDefault="00E3717B" w:rsidP="0068449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17BB6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C5D0" w14:textId="77777777" w:rsidR="00E3717B" w:rsidRPr="003D24F3" w:rsidRDefault="00E3717B" w:rsidP="0068449C">
            <w:pPr>
              <w:pStyle w:val="a6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4F3">
              <w:rPr>
                <w:rFonts w:ascii="Times New Roman" w:hAnsi="Times New Roman"/>
                <w:sz w:val="24"/>
                <w:szCs w:val="24"/>
              </w:rPr>
              <w:t>Кількість прийнятих рішень про зміну тарифу на перевезення пасажирів на міських автобусних маршрутах загального користування.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9ABF" w14:textId="77777777" w:rsidR="00E3717B" w:rsidRPr="003D24F3" w:rsidRDefault="00E3717B" w:rsidP="0068449C">
            <w:pPr>
              <w:pStyle w:val="a6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797" w14:textId="77777777" w:rsidR="00E3717B" w:rsidRPr="003D24F3" w:rsidRDefault="00E3717B" w:rsidP="0068449C">
            <w:pPr>
              <w:pStyle w:val="a6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AC68" w14:textId="77777777" w:rsidR="00E3717B" w:rsidRPr="003D24F3" w:rsidRDefault="00E3717B" w:rsidP="0068449C">
            <w:pPr>
              <w:pStyle w:val="a6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61C5531" w14:textId="77777777" w:rsidR="00E3717B" w:rsidRPr="00245CC5" w:rsidRDefault="00E3717B" w:rsidP="00E3717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7FCFEEE" w14:textId="77777777" w:rsidR="00E3717B" w:rsidRPr="00245CC5" w:rsidRDefault="00E3717B" w:rsidP="00E3717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>9.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45CC5">
        <w:rPr>
          <w:rFonts w:ascii="Times New Roman" w:hAnsi="Times New Roman"/>
          <w:b/>
          <w:sz w:val="26"/>
          <w:szCs w:val="26"/>
        </w:rPr>
        <w:t xml:space="preserve">Оцінка результатів реалізації регуляторного </w:t>
      </w:r>
      <w:proofErr w:type="spellStart"/>
      <w:r w:rsidRPr="00245CC5">
        <w:rPr>
          <w:rFonts w:ascii="Times New Roman" w:hAnsi="Times New Roman"/>
          <w:b/>
          <w:sz w:val="26"/>
          <w:szCs w:val="26"/>
        </w:rPr>
        <w:t>акта</w:t>
      </w:r>
      <w:proofErr w:type="spellEnd"/>
      <w:r w:rsidRPr="00245CC5">
        <w:rPr>
          <w:rFonts w:ascii="Times New Roman" w:hAnsi="Times New Roman"/>
          <w:b/>
          <w:sz w:val="26"/>
          <w:szCs w:val="26"/>
        </w:rPr>
        <w:t xml:space="preserve"> та ступеня досягнення визначених цілей</w:t>
      </w:r>
    </w:p>
    <w:p w14:paraId="3FCCF143" w14:textId="77777777" w:rsidR="00E3717B" w:rsidRDefault="00E3717B" w:rsidP="00E3717B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06235F">
        <w:rPr>
          <w:rFonts w:ascii="Times New Roman" w:hAnsi="Times New Roman"/>
          <w:sz w:val="26"/>
          <w:szCs w:val="26"/>
        </w:rPr>
        <w:t xml:space="preserve">егуляторний акт </w:t>
      </w:r>
      <w:r>
        <w:rPr>
          <w:rFonts w:ascii="Times New Roman" w:hAnsi="Times New Roman"/>
          <w:sz w:val="26"/>
          <w:szCs w:val="26"/>
        </w:rPr>
        <w:t>- р</w:t>
      </w:r>
      <w:r w:rsidRPr="001601E9">
        <w:rPr>
          <w:rFonts w:ascii="Times New Roman" w:hAnsi="Times New Roman"/>
          <w:sz w:val="26"/>
          <w:szCs w:val="26"/>
        </w:rPr>
        <w:t xml:space="preserve">ішення виконавчого комітету </w:t>
      </w:r>
      <w:proofErr w:type="spellStart"/>
      <w:r w:rsidRPr="001601E9">
        <w:rPr>
          <w:rFonts w:ascii="Times New Roman" w:hAnsi="Times New Roman"/>
          <w:sz w:val="26"/>
          <w:szCs w:val="26"/>
        </w:rPr>
        <w:t>Кузнецовської</w:t>
      </w:r>
      <w:proofErr w:type="spellEnd"/>
      <w:r w:rsidRPr="001601E9">
        <w:rPr>
          <w:rFonts w:ascii="Times New Roman" w:hAnsi="Times New Roman"/>
          <w:sz w:val="26"/>
          <w:szCs w:val="26"/>
        </w:rPr>
        <w:t xml:space="preserve"> міської ради від </w:t>
      </w:r>
      <w:r>
        <w:rPr>
          <w:rFonts w:ascii="Times New Roman" w:hAnsi="Times New Roman"/>
          <w:sz w:val="26"/>
          <w:szCs w:val="26"/>
        </w:rPr>
        <w:t xml:space="preserve">28 липня </w:t>
      </w:r>
      <w:r w:rsidRPr="001601E9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1</w:t>
      </w:r>
      <w:r w:rsidRPr="001601E9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157</w:t>
      </w:r>
      <w:r w:rsidRPr="001601E9">
        <w:rPr>
          <w:rFonts w:ascii="Times New Roman" w:hAnsi="Times New Roman"/>
          <w:sz w:val="26"/>
          <w:szCs w:val="26"/>
        </w:rPr>
        <w:t xml:space="preserve"> «</w:t>
      </w:r>
      <w:r w:rsidRPr="00FF5F26">
        <w:rPr>
          <w:rFonts w:ascii="Times New Roman" w:hAnsi="Times New Roman"/>
          <w:sz w:val="26"/>
          <w:szCs w:val="26"/>
        </w:rPr>
        <w:t>Про затвердження Порядку встановлення тарифів на перевезення пасажирів на міських автобусних маршрутах загального користування</w:t>
      </w:r>
      <w:r w:rsidRPr="001601E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235F">
        <w:rPr>
          <w:rFonts w:ascii="Times New Roman" w:hAnsi="Times New Roman"/>
          <w:sz w:val="26"/>
          <w:szCs w:val="26"/>
        </w:rPr>
        <w:t xml:space="preserve">має </w:t>
      </w:r>
      <w:r>
        <w:rPr>
          <w:rFonts w:ascii="Times New Roman" w:hAnsi="Times New Roman"/>
          <w:sz w:val="26"/>
          <w:szCs w:val="26"/>
        </w:rPr>
        <w:t>низький</w:t>
      </w:r>
      <w:r w:rsidRPr="0006235F">
        <w:rPr>
          <w:rFonts w:ascii="Times New Roman" w:hAnsi="Times New Roman"/>
          <w:sz w:val="26"/>
          <w:szCs w:val="26"/>
        </w:rPr>
        <w:t xml:space="preserve"> ступінь досягнення визначених цілей, </w:t>
      </w:r>
      <w:r>
        <w:rPr>
          <w:rFonts w:ascii="Times New Roman" w:hAnsi="Times New Roman"/>
          <w:sz w:val="26"/>
          <w:szCs w:val="26"/>
        </w:rPr>
        <w:t>оскільки при розгляді поданих документів щодо можливості зміни тарифів на перевезення пасажирів на міських автобусних маршрутах загального користування використовується виключно наказ М</w:t>
      </w:r>
      <w:r w:rsidRPr="0006235F">
        <w:rPr>
          <w:rFonts w:ascii="Times New Roman" w:hAnsi="Times New Roman"/>
          <w:sz w:val="26"/>
          <w:szCs w:val="26"/>
        </w:rPr>
        <w:t>іністерств</w:t>
      </w:r>
      <w:r>
        <w:rPr>
          <w:rFonts w:ascii="Times New Roman" w:hAnsi="Times New Roman"/>
          <w:sz w:val="26"/>
          <w:szCs w:val="26"/>
        </w:rPr>
        <w:t>а</w:t>
      </w:r>
      <w:r w:rsidRPr="0006235F">
        <w:rPr>
          <w:rFonts w:ascii="Times New Roman" w:hAnsi="Times New Roman"/>
          <w:sz w:val="26"/>
          <w:szCs w:val="26"/>
        </w:rPr>
        <w:t xml:space="preserve"> транспорту та зв'язку </w:t>
      </w:r>
      <w:r>
        <w:rPr>
          <w:rFonts w:ascii="Times New Roman" w:hAnsi="Times New Roman"/>
          <w:sz w:val="26"/>
          <w:szCs w:val="26"/>
        </w:rPr>
        <w:t>У</w:t>
      </w:r>
      <w:r w:rsidRPr="0006235F">
        <w:rPr>
          <w:rFonts w:ascii="Times New Roman" w:hAnsi="Times New Roman"/>
          <w:sz w:val="26"/>
          <w:szCs w:val="26"/>
        </w:rPr>
        <w:t xml:space="preserve">країни </w:t>
      </w:r>
      <w:r>
        <w:rPr>
          <w:rFonts w:ascii="Times New Roman" w:hAnsi="Times New Roman"/>
          <w:sz w:val="26"/>
          <w:szCs w:val="26"/>
        </w:rPr>
        <w:t xml:space="preserve">від </w:t>
      </w:r>
      <w:r w:rsidRPr="0006235F"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 xml:space="preserve"> листопада </w:t>
      </w:r>
      <w:r w:rsidRPr="0006235F">
        <w:rPr>
          <w:rFonts w:ascii="Times New Roman" w:hAnsi="Times New Roman"/>
          <w:sz w:val="26"/>
          <w:szCs w:val="26"/>
        </w:rPr>
        <w:t xml:space="preserve">2009  </w:t>
      </w:r>
      <w:r>
        <w:rPr>
          <w:rFonts w:ascii="Times New Roman" w:hAnsi="Times New Roman"/>
          <w:sz w:val="26"/>
          <w:szCs w:val="26"/>
        </w:rPr>
        <w:t>№</w:t>
      </w:r>
      <w:r w:rsidRPr="0006235F">
        <w:rPr>
          <w:rFonts w:ascii="Times New Roman" w:hAnsi="Times New Roman"/>
          <w:sz w:val="26"/>
          <w:szCs w:val="26"/>
        </w:rPr>
        <w:t>1175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06235F">
        <w:rPr>
          <w:rFonts w:ascii="Times New Roman" w:hAnsi="Times New Roman"/>
          <w:sz w:val="26"/>
          <w:szCs w:val="26"/>
        </w:rPr>
        <w:t>Про затвердження Методики розрахунку тарифів на послуги пасажирського автомобільного транспорту</w:t>
      </w:r>
      <w:r>
        <w:rPr>
          <w:rFonts w:ascii="Times New Roman" w:hAnsi="Times New Roman"/>
          <w:sz w:val="26"/>
          <w:szCs w:val="26"/>
        </w:rPr>
        <w:t xml:space="preserve">». </w:t>
      </w:r>
    </w:p>
    <w:p w14:paraId="34507A79" w14:textId="77777777" w:rsidR="00E3717B" w:rsidRDefault="00E3717B" w:rsidP="00E3717B">
      <w:pPr>
        <w:spacing w:after="24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06235F">
        <w:rPr>
          <w:rFonts w:ascii="Times New Roman" w:hAnsi="Times New Roman"/>
          <w:sz w:val="26"/>
          <w:szCs w:val="26"/>
        </w:rPr>
        <w:t xml:space="preserve">езультати реалізації положень </w:t>
      </w:r>
      <w:r>
        <w:rPr>
          <w:rFonts w:ascii="Times New Roman" w:hAnsi="Times New Roman"/>
          <w:sz w:val="26"/>
          <w:szCs w:val="26"/>
        </w:rPr>
        <w:t xml:space="preserve">регуляторного </w:t>
      </w:r>
      <w:proofErr w:type="spellStart"/>
      <w:r>
        <w:rPr>
          <w:rFonts w:ascii="Times New Roman" w:hAnsi="Times New Roman"/>
          <w:sz w:val="26"/>
          <w:szCs w:val="26"/>
        </w:rPr>
        <w:t>акта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6235F">
        <w:rPr>
          <w:rFonts w:ascii="Times New Roman" w:hAnsi="Times New Roman"/>
          <w:sz w:val="26"/>
          <w:szCs w:val="26"/>
        </w:rPr>
        <w:t xml:space="preserve">мають </w:t>
      </w:r>
      <w:r>
        <w:rPr>
          <w:rFonts w:ascii="Times New Roman" w:hAnsi="Times New Roman"/>
          <w:sz w:val="26"/>
          <w:szCs w:val="26"/>
        </w:rPr>
        <w:t>низьку</w:t>
      </w:r>
      <w:r w:rsidRPr="0006235F">
        <w:rPr>
          <w:rFonts w:ascii="Times New Roman" w:hAnsi="Times New Roman"/>
          <w:sz w:val="26"/>
          <w:szCs w:val="26"/>
        </w:rPr>
        <w:t xml:space="preserve"> динаміку</w:t>
      </w:r>
      <w:r>
        <w:rPr>
          <w:rFonts w:ascii="Times New Roman" w:hAnsi="Times New Roman"/>
          <w:sz w:val="26"/>
          <w:szCs w:val="26"/>
        </w:rPr>
        <w:t xml:space="preserve">, є неефективним та </w:t>
      </w:r>
      <w:r w:rsidRPr="0006235F">
        <w:rPr>
          <w:rFonts w:ascii="Times New Roman" w:hAnsi="Times New Roman"/>
          <w:sz w:val="26"/>
          <w:szCs w:val="26"/>
        </w:rPr>
        <w:t>не досягнув задекларованих цілей</w:t>
      </w:r>
      <w:r>
        <w:rPr>
          <w:rFonts w:ascii="Times New Roman" w:hAnsi="Times New Roman"/>
          <w:sz w:val="26"/>
          <w:szCs w:val="26"/>
        </w:rPr>
        <w:t>.</w:t>
      </w:r>
    </w:p>
    <w:p w14:paraId="0E77335A" w14:textId="77777777" w:rsidR="00E3717B" w:rsidRPr="00245CC5" w:rsidRDefault="00E3717B" w:rsidP="00E3717B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 xml:space="preserve">Зауваження до регуляторного </w:t>
      </w:r>
      <w:proofErr w:type="spellStart"/>
      <w:r w:rsidRPr="00245CC5">
        <w:rPr>
          <w:rFonts w:ascii="Times New Roman" w:hAnsi="Times New Roman"/>
          <w:b/>
          <w:sz w:val="26"/>
          <w:szCs w:val="26"/>
        </w:rPr>
        <w:t>акта</w:t>
      </w:r>
      <w:proofErr w:type="spellEnd"/>
      <w:r w:rsidRPr="00245CC5">
        <w:rPr>
          <w:rFonts w:ascii="Times New Roman" w:hAnsi="Times New Roman"/>
          <w:b/>
          <w:sz w:val="26"/>
          <w:szCs w:val="26"/>
        </w:rPr>
        <w:t>:</w:t>
      </w:r>
    </w:p>
    <w:p w14:paraId="0DF9AA70" w14:textId="77777777" w:rsidR="00E3717B" w:rsidRPr="00245CC5" w:rsidRDefault="00E3717B" w:rsidP="00E3717B">
      <w:pPr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245CC5">
        <w:rPr>
          <w:rFonts w:ascii="Times New Roman" w:hAnsi="Times New Roman"/>
          <w:sz w:val="26"/>
          <w:szCs w:val="26"/>
        </w:rPr>
        <w:t xml:space="preserve">При проведенні періодичного відстеження результативності регуляторного </w:t>
      </w:r>
      <w:proofErr w:type="spellStart"/>
      <w:r w:rsidRPr="00245CC5">
        <w:rPr>
          <w:rFonts w:ascii="Times New Roman" w:hAnsi="Times New Roman"/>
          <w:sz w:val="26"/>
          <w:szCs w:val="26"/>
        </w:rPr>
        <w:t>акта</w:t>
      </w:r>
      <w:proofErr w:type="spellEnd"/>
      <w:r w:rsidRPr="00245CC5">
        <w:rPr>
          <w:rFonts w:ascii="Times New Roman" w:hAnsi="Times New Roman"/>
          <w:sz w:val="26"/>
          <w:szCs w:val="26"/>
        </w:rPr>
        <w:t xml:space="preserve"> виявлено ряд суттєвих </w:t>
      </w:r>
      <w:proofErr w:type="spellStart"/>
      <w:r w:rsidRPr="00245CC5">
        <w:rPr>
          <w:rFonts w:ascii="Times New Roman" w:hAnsi="Times New Roman"/>
          <w:sz w:val="26"/>
          <w:szCs w:val="26"/>
        </w:rPr>
        <w:t>невідповідностей</w:t>
      </w:r>
      <w:proofErr w:type="spellEnd"/>
      <w:r w:rsidRPr="00245CC5">
        <w:rPr>
          <w:rFonts w:ascii="Times New Roman" w:hAnsi="Times New Roman"/>
          <w:sz w:val="26"/>
          <w:szCs w:val="26"/>
        </w:rPr>
        <w:t>, а саме:</w:t>
      </w:r>
    </w:p>
    <w:p w14:paraId="3E0C3AA4" w14:textId="77777777" w:rsidR="00E3717B" w:rsidRPr="00245CC5" w:rsidRDefault="00E3717B" w:rsidP="00E3717B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45C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 сьогодні відповідно </w:t>
      </w:r>
      <w:r w:rsidRPr="00245CC5">
        <w:rPr>
          <w:rFonts w:ascii="Times New Roman" w:hAnsi="Times New Roman"/>
          <w:sz w:val="26"/>
          <w:szCs w:val="26"/>
        </w:rPr>
        <w:t>до Постанови Верховної ради України від 19</w:t>
      </w:r>
      <w:r>
        <w:rPr>
          <w:rFonts w:ascii="Times New Roman" w:hAnsi="Times New Roman"/>
          <w:sz w:val="26"/>
          <w:szCs w:val="26"/>
        </w:rPr>
        <w:t xml:space="preserve"> травня </w:t>
      </w:r>
      <w:r w:rsidRPr="00245CC5">
        <w:rPr>
          <w:rFonts w:ascii="Times New Roman" w:hAnsi="Times New Roman"/>
          <w:sz w:val="26"/>
          <w:szCs w:val="26"/>
        </w:rPr>
        <w:t>2016 №1377-</w:t>
      </w:r>
      <w:r w:rsidRPr="00245CC5">
        <w:rPr>
          <w:rFonts w:ascii="Times New Roman" w:hAnsi="Times New Roman"/>
          <w:sz w:val="26"/>
          <w:szCs w:val="26"/>
          <w:lang w:val="en-US"/>
        </w:rPr>
        <w:t>VIII</w:t>
      </w:r>
      <w:r w:rsidRPr="00245CC5">
        <w:rPr>
          <w:rFonts w:ascii="Times New Roman" w:hAnsi="Times New Roman"/>
          <w:sz w:val="26"/>
          <w:szCs w:val="26"/>
        </w:rPr>
        <w:t xml:space="preserve"> «Про перейменування окремих населених пунктів та районів» місто Кузнецовськ перейменовано в місто Вараш.</w:t>
      </w:r>
    </w:p>
    <w:p w14:paraId="76328901" w14:textId="77777777" w:rsidR="00E3717B" w:rsidRPr="00245CC5" w:rsidRDefault="00E3717B" w:rsidP="00E3717B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D4DD7">
        <w:rPr>
          <w:rFonts w:ascii="Times New Roman" w:hAnsi="Times New Roman"/>
          <w:sz w:val="26"/>
          <w:szCs w:val="26"/>
          <w:shd w:val="clear" w:color="auto" w:fill="FFFFFF"/>
        </w:rPr>
        <w:t xml:space="preserve">Відповідно до </w:t>
      </w:r>
      <w:r w:rsidRPr="007D4DD7">
        <w:rPr>
          <w:rFonts w:ascii="Times New Roman" w:hAnsi="Times New Roman"/>
          <w:sz w:val="26"/>
          <w:szCs w:val="26"/>
        </w:rPr>
        <w:t>рішення</w:t>
      </w:r>
      <w:r w:rsidRPr="00245CC5">
        <w:rPr>
          <w:rFonts w:ascii="Times New Roman" w:hAnsi="Times New Roman"/>
          <w:sz w:val="26"/>
          <w:szCs w:val="26"/>
        </w:rPr>
        <w:t xml:space="preserve"> Вараської міської ради від 06</w:t>
      </w:r>
      <w:r>
        <w:rPr>
          <w:rFonts w:ascii="Times New Roman" w:hAnsi="Times New Roman"/>
          <w:sz w:val="26"/>
          <w:szCs w:val="26"/>
        </w:rPr>
        <w:t xml:space="preserve"> квітня </w:t>
      </w:r>
      <w:r w:rsidRPr="00245CC5">
        <w:rPr>
          <w:rFonts w:ascii="Times New Roman" w:hAnsi="Times New Roman"/>
          <w:sz w:val="26"/>
          <w:szCs w:val="26"/>
        </w:rPr>
        <w:t xml:space="preserve">.2017 №611 «Про перейменування </w:t>
      </w:r>
      <w:proofErr w:type="spellStart"/>
      <w:r w:rsidRPr="00245CC5">
        <w:rPr>
          <w:rFonts w:ascii="Times New Roman" w:hAnsi="Times New Roman"/>
          <w:sz w:val="26"/>
          <w:szCs w:val="26"/>
        </w:rPr>
        <w:t>Кузнецовської</w:t>
      </w:r>
      <w:proofErr w:type="spellEnd"/>
      <w:r w:rsidRPr="00245CC5">
        <w:rPr>
          <w:rFonts w:ascii="Times New Roman" w:hAnsi="Times New Roman"/>
          <w:sz w:val="26"/>
          <w:szCs w:val="26"/>
        </w:rPr>
        <w:t xml:space="preserve"> міської ради  та її виконавчого комітету» </w:t>
      </w:r>
      <w:r w:rsidRPr="00245C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Кузнецовська </w:t>
      </w:r>
      <w:r w:rsidRPr="00245C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міська рада та виконавчий комітет </w:t>
      </w:r>
      <w:proofErr w:type="spellStart"/>
      <w:r w:rsidRPr="00245C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Кузнецовської</w:t>
      </w:r>
      <w:proofErr w:type="spellEnd"/>
      <w:r w:rsidRPr="00245C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міської ради перейменовано у Вараську міську раду та відповідно у виконавчий комітет Вараської міської ради. </w:t>
      </w:r>
    </w:p>
    <w:p w14:paraId="0BBEECFE" w14:textId="77777777" w:rsidR="00E3717B" w:rsidRDefault="00E3717B" w:rsidP="00E3717B">
      <w:pPr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245C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Також, р</w:t>
      </w:r>
      <w:r w:rsidRPr="00245CC5">
        <w:rPr>
          <w:rFonts w:ascii="Times New Roman" w:hAnsi="Times New Roman"/>
          <w:sz w:val="26"/>
          <w:szCs w:val="26"/>
        </w:rPr>
        <w:t>ішенням двадцять дев'ятої сесії Вараської міської ради від 26</w:t>
      </w:r>
      <w:r>
        <w:rPr>
          <w:rFonts w:ascii="Times New Roman" w:hAnsi="Times New Roman"/>
          <w:sz w:val="26"/>
          <w:szCs w:val="26"/>
        </w:rPr>
        <w:t xml:space="preserve"> жовтня </w:t>
      </w:r>
      <w:r w:rsidRPr="00245CC5">
        <w:rPr>
          <w:rFonts w:ascii="Times New Roman" w:hAnsi="Times New Roman"/>
          <w:sz w:val="26"/>
          <w:szCs w:val="26"/>
        </w:rPr>
        <w:t xml:space="preserve">2018 №1201 «Про добровільне приєднання до територіальної громади міста обласного значення» до територіальної громади міста Вараш приєднано територіальну громаду села Заболоття, а відповідно </w:t>
      </w:r>
      <w:r w:rsidRPr="00245CC5">
        <w:rPr>
          <w:rFonts w:ascii="Times New Roman" w:hAnsi="Times New Roman"/>
          <w:sz w:val="26"/>
          <w:szCs w:val="26"/>
          <w:shd w:val="clear" w:color="auto" w:fill="FFFFFF"/>
        </w:rPr>
        <w:t>до розпорядження КМУ </w:t>
      </w:r>
      <w:r w:rsidRPr="00245CC5">
        <w:rPr>
          <w:rFonts w:ascii="Times New Roman" w:hAnsi="Times New Roman"/>
          <w:color w:val="1D1D1B"/>
          <w:spacing w:val="15"/>
          <w:sz w:val="26"/>
          <w:szCs w:val="26"/>
          <w:shd w:val="clear" w:color="auto" w:fill="FFFFFF"/>
        </w:rPr>
        <w:t>від 12</w:t>
      </w:r>
      <w:r>
        <w:rPr>
          <w:rFonts w:ascii="Times New Roman" w:hAnsi="Times New Roman"/>
          <w:color w:val="1D1D1B"/>
          <w:spacing w:val="15"/>
          <w:sz w:val="26"/>
          <w:szCs w:val="26"/>
          <w:shd w:val="clear" w:color="auto" w:fill="FFFFFF"/>
        </w:rPr>
        <w:t xml:space="preserve"> червня </w:t>
      </w:r>
      <w:r w:rsidRPr="00245CC5">
        <w:rPr>
          <w:rFonts w:ascii="Times New Roman" w:hAnsi="Times New Roman"/>
          <w:color w:val="1D1D1B"/>
          <w:spacing w:val="15"/>
          <w:sz w:val="26"/>
          <w:szCs w:val="26"/>
          <w:shd w:val="clear" w:color="auto" w:fill="FFFFFF"/>
        </w:rPr>
        <w:t>2020 №722-р</w:t>
      </w:r>
      <w:r w:rsidRPr="00617BB6"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hyperlink r:id="rId7" w:tgtFrame="_blank" w:history="1">
        <w:r w:rsidRPr="00617BB6">
          <w:rPr>
            <w:rStyle w:val="a3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Про визначення адміністративних центрів та затвердження територій територіальних громад Рівненської області</w:t>
        </w:r>
      </w:hyperlink>
      <w:r w:rsidRPr="00617BB6">
        <w:rPr>
          <w:rFonts w:ascii="Times New Roman" w:hAnsi="Times New Roman"/>
          <w:sz w:val="26"/>
          <w:szCs w:val="26"/>
        </w:rPr>
        <w:t>»</w:t>
      </w:r>
      <w:r w:rsidRPr="00245CC5">
        <w:rPr>
          <w:rFonts w:ascii="Times New Roman" w:hAnsi="Times New Roman"/>
          <w:sz w:val="26"/>
          <w:szCs w:val="26"/>
        </w:rPr>
        <w:t xml:space="preserve"> до складу Вараської міської територіальної громади приєднано </w:t>
      </w:r>
      <w:proofErr w:type="spellStart"/>
      <w:r w:rsidRPr="00245CC5">
        <w:rPr>
          <w:rFonts w:ascii="Times New Roman" w:hAnsi="Times New Roman"/>
          <w:sz w:val="26"/>
          <w:szCs w:val="26"/>
        </w:rPr>
        <w:t>Більськовільську</w:t>
      </w:r>
      <w:proofErr w:type="spellEnd"/>
      <w:r w:rsidRPr="00245CC5">
        <w:rPr>
          <w:rFonts w:ascii="Times New Roman" w:hAnsi="Times New Roman"/>
          <w:sz w:val="26"/>
          <w:szCs w:val="26"/>
        </w:rPr>
        <w:t xml:space="preserve"> сільську раду, </w:t>
      </w:r>
      <w:proofErr w:type="spellStart"/>
      <w:r w:rsidRPr="00245CC5">
        <w:rPr>
          <w:rFonts w:ascii="Times New Roman" w:hAnsi="Times New Roman"/>
          <w:sz w:val="26"/>
          <w:szCs w:val="26"/>
        </w:rPr>
        <w:t>Мульчицьку</w:t>
      </w:r>
      <w:proofErr w:type="spellEnd"/>
      <w:r w:rsidRPr="00245CC5">
        <w:rPr>
          <w:rFonts w:ascii="Times New Roman" w:hAnsi="Times New Roman"/>
          <w:sz w:val="26"/>
          <w:szCs w:val="26"/>
        </w:rPr>
        <w:t xml:space="preserve"> сільську раду, </w:t>
      </w:r>
      <w:proofErr w:type="spellStart"/>
      <w:r w:rsidRPr="00245CC5">
        <w:rPr>
          <w:rFonts w:ascii="Times New Roman" w:hAnsi="Times New Roman"/>
          <w:sz w:val="26"/>
          <w:szCs w:val="26"/>
        </w:rPr>
        <w:t>Озерецьку</w:t>
      </w:r>
      <w:proofErr w:type="spellEnd"/>
      <w:r w:rsidRPr="00245CC5">
        <w:rPr>
          <w:rFonts w:ascii="Times New Roman" w:hAnsi="Times New Roman"/>
          <w:sz w:val="26"/>
          <w:szCs w:val="26"/>
        </w:rPr>
        <w:t xml:space="preserve"> сільську раду, </w:t>
      </w:r>
      <w:proofErr w:type="spellStart"/>
      <w:r w:rsidRPr="00245CC5">
        <w:rPr>
          <w:rFonts w:ascii="Times New Roman" w:hAnsi="Times New Roman"/>
          <w:sz w:val="26"/>
          <w:szCs w:val="26"/>
        </w:rPr>
        <w:t>Собіщицьку</w:t>
      </w:r>
      <w:proofErr w:type="spellEnd"/>
      <w:r w:rsidRPr="00245CC5">
        <w:rPr>
          <w:rFonts w:ascii="Times New Roman" w:hAnsi="Times New Roman"/>
          <w:sz w:val="26"/>
          <w:szCs w:val="26"/>
        </w:rPr>
        <w:t xml:space="preserve"> сільську раду, </w:t>
      </w:r>
      <w:proofErr w:type="spellStart"/>
      <w:r w:rsidRPr="00245CC5">
        <w:rPr>
          <w:rFonts w:ascii="Times New Roman" w:hAnsi="Times New Roman"/>
          <w:sz w:val="26"/>
          <w:szCs w:val="26"/>
        </w:rPr>
        <w:t>Сопачівську</w:t>
      </w:r>
      <w:proofErr w:type="spellEnd"/>
      <w:r w:rsidRPr="00245CC5">
        <w:rPr>
          <w:rFonts w:ascii="Times New Roman" w:hAnsi="Times New Roman"/>
          <w:sz w:val="26"/>
          <w:szCs w:val="26"/>
        </w:rPr>
        <w:t xml:space="preserve"> сільську раду та </w:t>
      </w:r>
      <w:proofErr w:type="spellStart"/>
      <w:r w:rsidRPr="00245CC5">
        <w:rPr>
          <w:rFonts w:ascii="Times New Roman" w:hAnsi="Times New Roman"/>
          <w:sz w:val="26"/>
          <w:szCs w:val="26"/>
        </w:rPr>
        <w:t>Старорафалівську</w:t>
      </w:r>
      <w:proofErr w:type="spellEnd"/>
      <w:r w:rsidRPr="00245CC5">
        <w:rPr>
          <w:rFonts w:ascii="Times New Roman" w:hAnsi="Times New Roman"/>
          <w:sz w:val="26"/>
          <w:szCs w:val="26"/>
        </w:rPr>
        <w:t xml:space="preserve"> сільську раду, у зв’язку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5CC5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5CC5">
        <w:rPr>
          <w:rFonts w:ascii="Times New Roman" w:hAnsi="Times New Roman"/>
          <w:sz w:val="26"/>
          <w:szCs w:val="26"/>
        </w:rPr>
        <w:t xml:space="preserve">чим утворено Вараську міську територіальну громаду. </w:t>
      </w:r>
    </w:p>
    <w:p w14:paraId="3696890B" w14:textId="77777777" w:rsidR="00E3717B" w:rsidRDefault="00E3717B" w:rsidP="00E3717B">
      <w:pPr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Відповідно до статті 10 Закону України «Про автомобільний транспорт» р</w:t>
      </w:r>
      <w:r w:rsidRPr="004D38F8">
        <w:rPr>
          <w:rFonts w:ascii="Times New Roman" w:hAnsi="Times New Roman"/>
          <w:sz w:val="26"/>
          <w:szCs w:val="26"/>
        </w:rPr>
        <w:t>еалізація єдиної тарифної політики передбачає затверджену центральним органом виконавчої влади, що забезпечує формування та реалізує державну політику у сфері транспорту, методику розрахунку тарифів за видами перевезень.</w:t>
      </w:r>
    </w:p>
    <w:p w14:paraId="48142A63" w14:textId="77777777" w:rsidR="00E3717B" w:rsidRDefault="00E3717B" w:rsidP="00E3717B">
      <w:pPr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CA6D66">
        <w:rPr>
          <w:rFonts w:ascii="Times New Roman" w:hAnsi="Times New Roman"/>
          <w:sz w:val="26"/>
          <w:szCs w:val="26"/>
        </w:rPr>
        <w:t>еханізм  формування  тарифів на послуги з перевезення пасажирів на автобусних маршрутах загального користування</w:t>
      </w:r>
      <w:r>
        <w:rPr>
          <w:rFonts w:ascii="Times New Roman" w:hAnsi="Times New Roman"/>
          <w:sz w:val="26"/>
          <w:szCs w:val="26"/>
        </w:rPr>
        <w:t xml:space="preserve"> регламентовано </w:t>
      </w:r>
      <w:r w:rsidRPr="00CA6D66">
        <w:rPr>
          <w:rFonts w:ascii="Times New Roman" w:hAnsi="Times New Roman"/>
          <w:sz w:val="26"/>
          <w:szCs w:val="26"/>
        </w:rPr>
        <w:t>наказ</w:t>
      </w:r>
      <w:r>
        <w:rPr>
          <w:rFonts w:ascii="Times New Roman" w:hAnsi="Times New Roman"/>
          <w:sz w:val="26"/>
          <w:szCs w:val="26"/>
        </w:rPr>
        <w:t>ом</w:t>
      </w:r>
      <w:r w:rsidRPr="00CA6D66">
        <w:rPr>
          <w:rFonts w:ascii="Times New Roman" w:hAnsi="Times New Roman"/>
          <w:sz w:val="26"/>
          <w:szCs w:val="26"/>
        </w:rPr>
        <w:t xml:space="preserve"> Міністерства транспорту та зв'язку України від 17</w:t>
      </w:r>
      <w:r>
        <w:rPr>
          <w:rFonts w:ascii="Times New Roman" w:hAnsi="Times New Roman"/>
          <w:sz w:val="26"/>
          <w:szCs w:val="26"/>
        </w:rPr>
        <w:t xml:space="preserve"> листопада </w:t>
      </w:r>
      <w:r w:rsidRPr="00CA6D66">
        <w:rPr>
          <w:rFonts w:ascii="Times New Roman" w:hAnsi="Times New Roman"/>
          <w:sz w:val="26"/>
          <w:szCs w:val="26"/>
        </w:rPr>
        <w:t>2009  №1175 «Про затвердження Методики розрахунку тарифів на послуги пасажирського автомобільного транспорту»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48AAE511" w14:textId="77777777" w:rsidR="00E3717B" w:rsidRDefault="00E3717B" w:rsidP="00E3717B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245CC5">
        <w:rPr>
          <w:rFonts w:ascii="Times New Roman" w:hAnsi="Times New Roman"/>
          <w:sz w:val="26"/>
          <w:szCs w:val="26"/>
        </w:rPr>
        <w:t>іюч</w:t>
      </w:r>
      <w:r>
        <w:rPr>
          <w:rFonts w:ascii="Times New Roman" w:hAnsi="Times New Roman"/>
          <w:sz w:val="26"/>
          <w:szCs w:val="26"/>
        </w:rPr>
        <w:t>им</w:t>
      </w:r>
      <w:r w:rsidRPr="00245CC5">
        <w:rPr>
          <w:rFonts w:ascii="Times New Roman" w:hAnsi="Times New Roman"/>
          <w:sz w:val="26"/>
          <w:szCs w:val="26"/>
        </w:rPr>
        <w:t xml:space="preserve"> законодавств</w:t>
      </w:r>
      <w:r>
        <w:rPr>
          <w:rFonts w:ascii="Times New Roman" w:hAnsi="Times New Roman"/>
          <w:sz w:val="26"/>
          <w:szCs w:val="26"/>
        </w:rPr>
        <w:t xml:space="preserve">ом не передбачена необхідність розробки локальних нормативно-правові актів органу місцевого самоврядування з питань </w:t>
      </w:r>
      <w:r w:rsidRPr="00CA6D66">
        <w:rPr>
          <w:rFonts w:ascii="Times New Roman" w:hAnsi="Times New Roman"/>
          <w:sz w:val="26"/>
          <w:szCs w:val="26"/>
        </w:rPr>
        <w:t>розрахунку тарифів на послуги пасажирського автомобільного транспорту</w:t>
      </w:r>
      <w:r>
        <w:rPr>
          <w:rFonts w:ascii="Times New Roman" w:hAnsi="Times New Roman"/>
          <w:sz w:val="26"/>
          <w:szCs w:val="26"/>
        </w:rPr>
        <w:t>.</w:t>
      </w:r>
    </w:p>
    <w:p w14:paraId="5F22937E" w14:textId="77777777" w:rsidR="00E3717B" w:rsidRPr="00245CC5" w:rsidRDefault="00E3717B" w:rsidP="00E3717B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45CC5">
        <w:rPr>
          <w:rFonts w:ascii="Times New Roman" w:hAnsi="Times New Roman"/>
          <w:sz w:val="26"/>
          <w:szCs w:val="26"/>
        </w:rPr>
        <w:t xml:space="preserve">З огляду на зазначене, даний регуляторний акт - </w:t>
      </w:r>
      <w:r>
        <w:rPr>
          <w:rFonts w:ascii="Times New Roman" w:hAnsi="Times New Roman"/>
          <w:sz w:val="26"/>
          <w:szCs w:val="26"/>
        </w:rPr>
        <w:t>р</w:t>
      </w:r>
      <w:r w:rsidRPr="001D13C6">
        <w:rPr>
          <w:rFonts w:ascii="Times New Roman" w:hAnsi="Times New Roman"/>
          <w:sz w:val="26"/>
          <w:szCs w:val="26"/>
        </w:rPr>
        <w:t xml:space="preserve">ішення виконавчого комітету </w:t>
      </w:r>
      <w:proofErr w:type="spellStart"/>
      <w:r w:rsidRPr="001D13C6">
        <w:rPr>
          <w:rFonts w:ascii="Times New Roman" w:hAnsi="Times New Roman"/>
          <w:sz w:val="26"/>
          <w:szCs w:val="26"/>
        </w:rPr>
        <w:t>Кузнецовської</w:t>
      </w:r>
      <w:proofErr w:type="spellEnd"/>
      <w:r w:rsidRPr="001D13C6">
        <w:rPr>
          <w:rFonts w:ascii="Times New Roman" w:hAnsi="Times New Roman"/>
          <w:sz w:val="26"/>
          <w:szCs w:val="26"/>
        </w:rPr>
        <w:t xml:space="preserve"> міської ради від 28</w:t>
      </w:r>
      <w:r>
        <w:rPr>
          <w:rFonts w:ascii="Times New Roman" w:hAnsi="Times New Roman"/>
          <w:sz w:val="26"/>
          <w:szCs w:val="26"/>
        </w:rPr>
        <w:t xml:space="preserve"> липня </w:t>
      </w:r>
      <w:r w:rsidRPr="001D13C6">
        <w:rPr>
          <w:rFonts w:ascii="Times New Roman" w:hAnsi="Times New Roman"/>
          <w:sz w:val="26"/>
          <w:szCs w:val="26"/>
        </w:rPr>
        <w:t>2011 №157 «Про затвердження Порядку встановлення тарифів на перевезення пасажирів на міських автобусних маршрутах загального користування»</w:t>
      </w:r>
      <w:r w:rsidRPr="00245CC5">
        <w:rPr>
          <w:rStyle w:val="a7"/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617BB6">
        <w:rPr>
          <w:rStyle w:val="a7"/>
          <w:rFonts w:ascii="Times New Roman" w:hAnsi="Times New Roman"/>
          <w:b w:val="0"/>
          <w:bCs/>
          <w:color w:val="000000"/>
          <w:sz w:val="26"/>
          <w:szCs w:val="26"/>
        </w:rPr>
        <w:t>не відповідає вимогам чинного законодавства та</w:t>
      </w:r>
      <w:r w:rsidRPr="00245CC5">
        <w:rPr>
          <w:rStyle w:val="a7"/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245CC5">
        <w:rPr>
          <w:rFonts w:ascii="Times New Roman" w:hAnsi="Times New Roman"/>
          <w:sz w:val="26"/>
          <w:szCs w:val="26"/>
        </w:rPr>
        <w:t xml:space="preserve">потребує </w:t>
      </w:r>
      <w:r>
        <w:rPr>
          <w:rFonts w:ascii="Times New Roman" w:hAnsi="Times New Roman"/>
          <w:sz w:val="26"/>
          <w:szCs w:val="26"/>
        </w:rPr>
        <w:t>визнання таким, що втратив чинність</w:t>
      </w:r>
      <w:r w:rsidRPr="00245CC5">
        <w:rPr>
          <w:rFonts w:ascii="Times New Roman" w:hAnsi="Times New Roman"/>
          <w:sz w:val="26"/>
          <w:szCs w:val="26"/>
        </w:rPr>
        <w:t xml:space="preserve">, як такий, що не відповідає принципам державної регуляторної політики встановлених чинним законодавством, а саме, забезпечення балансу інтересів суб’єктів господарювання, громадян та держави, </w:t>
      </w:r>
      <w:r w:rsidRPr="00245C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обґрунтування необхідності державного регулювання господарських відносин з метою вирішення існуючої проблеми.</w:t>
      </w:r>
    </w:p>
    <w:p w14:paraId="4C812C34" w14:textId="77777777" w:rsidR="00E3717B" w:rsidRDefault="00E3717B" w:rsidP="00E3717B">
      <w:pPr>
        <w:tabs>
          <w:tab w:val="left" w:pos="7245"/>
        </w:tabs>
        <w:jc w:val="both"/>
        <w:rPr>
          <w:rFonts w:ascii="Times New Roman" w:hAnsi="Times New Roman"/>
          <w:sz w:val="26"/>
          <w:szCs w:val="26"/>
        </w:rPr>
      </w:pPr>
    </w:p>
    <w:p w14:paraId="1289A228" w14:textId="77777777" w:rsidR="00E3717B" w:rsidRPr="00245CC5" w:rsidRDefault="00E3717B" w:rsidP="00E3717B">
      <w:pPr>
        <w:tabs>
          <w:tab w:val="left" w:pos="6600"/>
        </w:tabs>
        <w:jc w:val="both"/>
        <w:rPr>
          <w:rFonts w:ascii="Times New Roman" w:hAnsi="Times New Roman"/>
          <w:sz w:val="26"/>
          <w:szCs w:val="26"/>
        </w:rPr>
      </w:pPr>
    </w:p>
    <w:p w14:paraId="451E9526" w14:textId="77777777" w:rsidR="00E3717B" w:rsidRPr="00245CC5" w:rsidRDefault="00E3717B" w:rsidP="00E3717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5"/>
        <w:gridCol w:w="3076"/>
      </w:tblGrid>
      <w:tr w:rsidR="00E3717B" w:rsidRPr="00245CC5" w14:paraId="1D2BC061" w14:textId="77777777" w:rsidTr="0068449C">
        <w:tc>
          <w:tcPr>
            <w:tcW w:w="6495" w:type="dxa"/>
          </w:tcPr>
          <w:p w14:paraId="414CAA9F" w14:textId="77777777" w:rsidR="00E3717B" w:rsidRPr="00245CC5" w:rsidRDefault="00E3717B" w:rsidP="0068449C">
            <w:pPr>
              <w:jc w:val="both"/>
              <w:rPr>
                <w:sz w:val="26"/>
                <w:szCs w:val="26"/>
              </w:rPr>
            </w:pPr>
            <w:r w:rsidRPr="00245CC5">
              <w:rPr>
                <w:sz w:val="26"/>
                <w:szCs w:val="26"/>
              </w:rPr>
              <w:t xml:space="preserve">Міський голова    </w:t>
            </w:r>
          </w:p>
        </w:tc>
        <w:tc>
          <w:tcPr>
            <w:tcW w:w="3076" w:type="dxa"/>
          </w:tcPr>
          <w:p w14:paraId="353A6B1B" w14:textId="77777777" w:rsidR="00E3717B" w:rsidRPr="00245CC5" w:rsidRDefault="00E3717B" w:rsidP="0068449C">
            <w:pPr>
              <w:jc w:val="both"/>
              <w:rPr>
                <w:sz w:val="26"/>
                <w:szCs w:val="26"/>
              </w:rPr>
            </w:pPr>
            <w:r w:rsidRPr="00245CC5">
              <w:rPr>
                <w:sz w:val="26"/>
                <w:szCs w:val="26"/>
              </w:rPr>
              <w:t xml:space="preserve">    Олександр МЕНЗУЛ</w:t>
            </w:r>
          </w:p>
        </w:tc>
      </w:tr>
    </w:tbl>
    <w:p w14:paraId="0F484F8F" w14:textId="77777777" w:rsidR="009F2459" w:rsidRPr="00E3717B" w:rsidRDefault="009F2459" w:rsidP="00E3717B"/>
    <w:sectPr w:rsidR="009F2459" w:rsidRPr="00E3717B" w:rsidSect="001D13C6">
      <w:headerReference w:type="default" r:id="rId8"/>
      <w:pgSz w:w="11906" w:h="16838" w:code="9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F7A91" w14:textId="77777777" w:rsidR="00E01A59" w:rsidRDefault="00E01A59" w:rsidP="001D13C6">
      <w:r>
        <w:separator/>
      </w:r>
    </w:p>
  </w:endnote>
  <w:endnote w:type="continuationSeparator" w:id="0">
    <w:p w14:paraId="4723C107" w14:textId="77777777" w:rsidR="00E01A59" w:rsidRDefault="00E01A59" w:rsidP="001D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60747" w14:textId="77777777" w:rsidR="00E01A59" w:rsidRDefault="00E01A59" w:rsidP="001D13C6">
      <w:r>
        <w:separator/>
      </w:r>
    </w:p>
  </w:footnote>
  <w:footnote w:type="continuationSeparator" w:id="0">
    <w:p w14:paraId="7D6B77EF" w14:textId="77777777" w:rsidR="00E01A59" w:rsidRDefault="00E01A59" w:rsidP="001D1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971160"/>
      <w:docPartObj>
        <w:docPartGallery w:val="Page Numbers (Top of Page)"/>
        <w:docPartUnique/>
      </w:docPartObj>
    </w:sdtPr>
    <w:sdtEndPr/>
    <w:sdtContent>
      <w:p w14:paraId="7C000BFC" w14:textId="613D3BC9" w:rsidR="001D13C6" w:rsidRDefault="001D13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E06">
          <w:rPr>
            <w:noProof/>
          </w:rPr>
          <w:t>2</w:t>
        </w:r>
        <w:r>
          <w:fldChar w:fldCharType="end"/>
        </w:r>
      </w:p>
    </w:sdtContent>
  </w:sdt>
  <w:p w14:paraId="28D8C5C0" w14:textId="77777777" w:rsidR="001D13C6" w:rsidRDefault="001D13C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F3AD6"/>
    <w:multiLevelType w:val="hybridMultilevel"/>
    <w:tmpl w:val="90442CEC"/>
    <w:lvl w:ilvl="0" w:tplc="EA100C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51885"/>
    <w:multiLevelType w:val="hybridMultilevel"/>
    <w:tmpl w:val="4F68B616"/>
    <w:lvl w:ilvl="0" w:tplc="7A022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667B3"/>
    <w:multiLevelType w:val="hybridMultilevel"/>
    <w:tmpl w:val="AC220296"/>
    <w:lvl w:ilvl="0" w:tplc="3782FCE0">
      <w:start w:val="3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E"/>
    <w:rsid w:val="0006235F"/>
    <w:rsid w:val="000D11FC"/>
    <w:rsid w:val="001601E9"/>
    <w:rsid w:val="001658B4"/>
    <w:rsid w:val="001A3560"/>
    <w:rsid w:val="001B364E"/>
    <w:rsid w:val="001D13C6"/>
    <w:rsid w:val="001F547B"/>
    <w:rsid w:val="00242CAA"/>
    <w:rsid w:val="00245CC5"/>
    <w:rsid w:val="0027789D"/>
    <w:rsid w:val="002D0AC9"/>
    <w:rsid w:val="002D5115"/>
    <w:rsid w:val="0032072C"/>
    <w:rsid w:val="00375BD5"/>
    <w:rsid w:val="003835F6"/>
    <w:rsid w:val="003C2E06"/>
    <w:rsid w:val="003D24F3"/>
    <w:rsid w:val="003D7143"/>
    <w:rsid w:val="003E757A"/>
    <w:rsid w:val="00417849"/>
    <w:rsid w:val="004D38F8"/>
    <w:rsid w:val="00506EE4"/>
    <w:rsid w:val="00507CA4"/>
    <w:rsid w:val="0056686B"/>
    <w:rsid w:val="0059341C"/>
    <w:rsid w:val="005C77DC"/>
    <w:rsid w:val="005D1A90"/>
    <w:rsid w:val="005F4194"/>
    <w:rsid w:val="00651230"/>
    <w:rsid w:val="00655862"/>
    <w:rsid w:val="006E5421"/>
    <w:rsid w:val="00716D17"/>
    <w:rsid w:val="007606B3"/>
    <w:rsid w:val="00797FB4"/>
    <w:rsid w:val="007D4DD7"/>
    <w:rsid w:val="00807B88"/>
    <w:rsid w:val="00873583"/>
    <w:rsid w:val="008F4912"/>
    <w:rsid w:val="009316B6"/>
    <w:rsid w:val="00934D62"/>
    <w:rsid w:val="009A02D9"/>
    <w:rsid w:val="009A0A63"/>
    <w:rsid w:val="009A323F"/>
    <w:rsid w:val="009A39A4"/>
    <w:rsid w:val="009F2459"/>
    <w:rsid w:val="00A16EDD"/>
    <w:rsid w:val="00A203D0"/>
    <w:rsid w:val="00A618B4"/>
    <w:rsid w:val="00AD35F2"/>
    <w:rsid w:val="00B04FB6"/>
    <w:rsid w:val="00B13CC5"/>
    <w:rsid w:val="00B15CAE"/>
    <w:rsid w:val="00B35B41"/>
    <w:rsid w:val="00B64EC1"/>
    <w:rsid w:val="00B664DE"/>
    <w:rsid w:val="00B700F4"/>
    <w:rsid w:val="00BB1389"/>
    <w:rsid w:val="00C11CA3"/>
    <w:rsid w:val="00C451D2"/>
    <w:rsid w:val="00C659DC"/>
    <w:rsid w:val="00CA6D66"/>
    <w:rsid w:val="00D02039"/>
    <w:rsid w:val="00D04E5A"/>
    <w:rsid w:val="00D921DF"/>
    <w:rsid w:val="00DA1121"/>
    <w:rsid w:val="00DC0721"/>
    <w:rsid w:val="00DD084F"/>
    <w:rsid w:val="00DE2FD0"/>
    <w:rsid w:val="00E002B1"/>
    <w:rsid w:val="00E01A59"/>
    <w:rsid w:val="00E21C0C"/>
    <w:rsid w:val="00E3717B"/>
    <w:rsid w:val="00F15795"/>
    <w:rsid w:val="00F40BBA"/>
    <w:rsid w:val="00F43FAE"/>
    <w:rsid w:val="00F47FDF"/>
    <w:rsid w:val="00F51FE0"/>
    <w:rsid w:val="00F56295"/>
    <w:rsid w:val="00FC623A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8468"/>
  <w15:docId w15:val="{ECBFC780-8788-4952-8823-8ED5207C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4E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B364E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B36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1B364E"/>
    <w:rPr>
      <w:strike w:val="0"/>
      <w:dstrike w:val="0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B3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64E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21C0C"/>
    <w:pPr>
      <w:ind w:left="720"/>
      <w:contextualSpacing/>
    </w:pPr>
  </w:style>
  <w:style w:type="character" w:styleId="a7">
    <w:name w:val="Strong"/>
    <w:basedOn w:val="a0"/>
    <w:qFormat/>
    <w:rsid w:val="00375BD5"/>
    <w:rPr>
      <w:b/>
      <w:bCs/>
    </w:rPr>
  </w:style>
  <w:style w:type="table" w:styleId="a8">
    <w:name w:val="Table Grid"/>
    <w:basedOn w:val="a1"/>
    <w:uiPriority w:val="59"/>
    <w:rsid w:val="0037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375BD5"/>
  </w:style>
  <w:style w:type="paragraph" w:styleId="a9">
    <w:name w:val="header"/>
    <w:basedOn w:val="a"/>
    <w:link w:val="aa"/>
    <w:uiPriority w:val="99"/>
    <w:unhideWhenUsed/>
    <w:rsid w:val="001D13C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13C6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D13C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13C6"/>
    <w:rPr>
      <w:rFonts w:ascii="Times New Roman CYR" w:eastAsia="Times New Roman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mu.gov.ua/npas/pro-viznachennya-administrativnih-centriv-ta-zatverdzhennya-teritorij-teritorialnih-gromad-rivnenskoyi-oblasti-i120620-7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4354</Words>
  <Characters>2482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Rybachyk</dc:creator>
  <cp:lastModifiedBy>Lytay</cp:lastModifiedBy>
  <cp:revision>2</cp:revision>
  <cp:lastPrinted>2022-08-05T12:11:00Z</cp:lastPrinted>
  <dcterms:created xsi:type="dcterms:W3CDTF">2022-08-12T09:37:00Z</dcterms:created>
  <dcterms:modified xsi:type="dcterms:W3CDTF">2022-08-12T09:37:00Z</dcterms:modified>
</cp:coreProperties>
</file>