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63" w:rsidRPr="0048578A" w:rsidRDefault="00F36F63" w:rsidP="00F36F63">
      <w:pPr>
        <w:ind w:left="159" w:right="170" w:firstLine="567"/>
        <w:jc w:val="center"/>
        <w:rPr>
          <w:b/>
        </w:rPr>
      </w:pPr>
      <w:r w:rsidRPr="0048578A">
        <w:rPr>
          <w:b/>
        </w:rPr>
        <w:t>Заходи моніторингу наслідків виконання генерального плану</w:t>
      </w:r>
      <w:r w:rsidR="0048578A" w:rsidRPr="0048578A">
        <w:rPr>
          <w:b/>
        </w:rPr>
        <w:t xml:space="preserve">   з планом зонування території населеного пункту Кругле </w:t>
      </w:r>
      <w:proofErr w:type="spellStart"/>
      <w:r w:rsidR="0048578A" w:rsidRPr="0048578A">
        <w:rPr>
          <w:b/>
        </w:rPr>
        <w:t>Вараського</w:t>
      </w:r>
      <w:proofErr w:type="spellEnd"/>
      <w:r w:rsidR="0048578A" w:rsidRPr="0048578A">
        <w:rPr>
          <w:b/>
        </w:rPr>
        <w:t xml:space="preserve"> району Рівненської області</w:t>
      </w:r>
      <w:r w:rsidRPr="0048578A">
        <w:rPr>
          <w:b/>
        </w:rPr>
        <w:t xml:space="preserve"> для довкілля, у тому числі для здоров’я населення</w:t>
      </w:r>
    </w:p>
    <w:p w:rsidR="0048578A" w:rsidRDefault="0048578A" w:rsidP="00F36F63">
      <w:pPr>
        <w:ind w:left="159" w:right="170" w:firstLine="567"/>
      </w:pPr>
    </w:p>
    <w:p w:rsidR="00F36F63" w:rsidRPr="00725771" w:rsidRDefault="00F36F63" w:rsidP="00F36F63">
      <w:pPr>
        <w:ind w:left="159" w:right="170" w:firstLine="567"/>
      </w:pPr>
      <w:r w:rsidRPr="00725771">
        <w:t xml:space="preserve">Моніторинг. </w:t>
      </w:r>
    </w:p>
    <w:p w:rsidR="00F36F63" w:rsidRPr="00725771" w:rsidRDefault="00F36F63" w:rsidP="00F36F63">
      <w:pPr>
        <w:ind w:left="159" w:right="170" w:firstLine="567"/>
      </w:pPr>
      <w:r w:rsidRPr="00725771">
        <w:t>У ході здійснення стратегічної екологічної оцінки були вироблені пропозиції щодо моніторингу екологічних впливів пов'язаних з реалізацією генерального плану.</w:t>
      </w:r>
    </w:p>
    <w:p w:rsidR="00F36F63" w:rsidRPr="00725771" w:rsidRDefault="00F36F63" w:rsidP="00F36F63">
      <w:pPr>
        <w:ind w:left="159" w:right="170" w:firstLine="567"/>
        <w:jc w:val="both"/>
      </w:pPr>
      <w:r w:rsidRPr="00725771">
        <w:t>На етапі визначення сферою охоплення стратегічної екологічної оцінки та підготовки звіту були зібрані і проаналізовані великі масиви даних про стан довкілля і здоров'я населення вплив автотранспорту соціально-економічний розвиток та сформовану загальне розуміння того як влаштовані системи організації даних процедур і звітності на рівні села, міста, району і на національному рівні.</w:t>
      </w:r>
    </w:p>
    <w:p w:rsidR="00F36F63" w:rsidRPr="00725771" w:rsidRDefault="00F36F63" w:rsidP="00F36F63">
      <w:pPr>
        <w:ind w:left="159" w:right="170" w:firstLine="567"/>
        <w:jc w:val="both"/>
      </w:pPr>
      <w:r w:rsidRPr="00725771">
        <w:t>На основі проведених консультації з відповідними заінтересованими сторонами та громадськістю окремим пунктом обговорювався перелік індикаторів для моніторингу впливів реалізації генерального плану основних на оцінці доступних даних які вже надходять за результатами проведеного моніторингу або збираються місцевою владою та спеціальними агентствами щоб не створювати окрему систему моніторингу.</w:t>
      </w:r>
    </w:p>
    <w:p w:rsidR="00F36F63" w:rsidRPr="00725771" w:rsidRDefault="00F36F63" w:rsidP="00F36F63">
      <w:pPr>
        <w:ind w:left="159" w:right="170" w:firstLine="567"/>
        <w:jc w:val="both"/>
      </w:pPr>
      <w:r w:rsidRPr="00725771">
        <w:t>Для спостереження за здійсненням заходів генплану та оцінки їх виконання були обрані узгоджені із заінтересованими місцевими органами влади в сфері екології охорони здоров'я наступні ключові показники.</w:t>
      </w:r>
    </w:p>
    <w:p w:rsidR="00F36F63" w:rsidRPr="00725771" w:rsidRDefault="00F36F63" w:rsidP="00F36F63">
      <w:pPr>
        <w:ind w:left="159" w:right="170" w:firstLine="567"/>
        <w:rPr>
          <w:b/>
          <w:i/>
        </w:rPr>
      </w:pPr>
      <w:r w:rsidRPr="00725771">
        <w:rPr>
          <w:b/>
          <w:i/>
        </w:rPr>
        <w:t xml:space="preserve">Ключові показники моніторингу: </w:t>
      </w:r>
    </w:p>
    <w:tbl>
      <w:tblPr>
        <w:tblW w:w="90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9"/>
        <w:gridCol w:w="2625"/>
        <w:gridCol w:w="66"/>
        <w:gridCol w:w="3084"/>
      </w:tblGrid>
      <w:tr w:rsidR="00F36F63" w:rsidRPr="00725771" w:rsidTr="00F36F63">
        <w:tc>
          <w:tcPr>
            <w:tcW w:w="3229" w:type="dxa"/>
            <w:shd w:val="clear" w:color="auto" w:fill="auto"/>
          </w:tcPr>
          <w:p w:rsidR="00F36F63" w:rsidRPr="00725771" w:rsidRDefault="00F36F63" w:rsidP="00D16683">
            <w:pPr>
              <w:ind w:left="159" w:right="170"/>
              <w:rPr>
                <w:b/>
              </w:rPr>
            </w:pPr>
            <w:r w:rsidRPr="00725771">
              <w:rPr>
                <w:b/>
              </w:rPr>
              <w:t>Індикатор</w:t>
            </w:r>
          </w:p>
        </w:tc>
        <w:tc>
          <w:tcPr>
            <w:tcW w:w="2625" w:type="dxa"/>
            <w:shd w:val="clear" w:color="auto" w:fill="auto"/>
          </w:tcPr>
          <w:p w:rsidR="00F36F63" w:rsidRPr="00725771" w:rsidRDefault="00F36F63" w:rsidP="00D16683">
            <w:pPr>
              <w:ind w:left="159" w:right="170"/>
              <w:rPr>
                <w:b/>
              </w:rPr>
            </w:pPr>
            <w:r w:rsidRPr="00725771">
              <w:rPr>
                <w:b/>
              </w:rPr>
              <w:t>Визначення</w:t>
            </w:r>
          </w:p>
        </w:tc>
        <w:tc>
          <w:tcPr>
            <w:tcW w:w="3150" w:type="dxa"/>
            <w:gridSpan w:val="2"/>
            <w:shd w:val="clear" w:color="auto" w:fill="auto"/>
          </w:tcPr>
          <w:p w:rsidR="00F36F63" w:rsidRPr="00725771" w:rsidRDefault="00F36F63" w:rsidP="00D16683">
            <w:pPr>
              <w:ind w:left="159" w:right="170"/>
              <w:rPr>
                <w:b/>
              </w:rPr>
            </w:pPr>
            <w:r w:rsidRPr="00725771">
              <w:rPr>
                <w:b/>
              </w:rPr>
              <w:t>Джерело даних</w:t>
            </w:r>
          </w:p>
        </w:tc>
      </w:tr>
      <w:tr w:rsidR="00F36F63" w:rsidRPr="00725771" w:rsidTr="00F36F63">
        <w:tc>
          <w:tcPr>
            <w:tcW w:w="3229" w:type="dxa"/>
            <w:shd w:val="clear" w:color="auto" w:fill="auto"/>
          </w:tcPr>
          <w:p w:rsidR="00F36F63" w:rsidRPr="00725771" w:rsidRDefault="00F36F63" w:rsidP="00D16683">
            <w:pPr>
              <w:ind w:left="159" w:right="170"/>
            </w:pPr>
            <w:r w:rsidRPr="00725771">
              <w:t>Поверхня зелених зон в селі (%, га на душу населення)</w:t>
            </w:r>
          </w:p>
        </w:tc>
        <w:tc>
          <w:tcPr>
            <w:tcW w:w="2625" w:type="dxa"/>
            <w:shd w:val="clear" w:color="auto" w:fill="auto"/>
          </w:tcPr>
          <w:p w:rsidR="00F36F63" w:rsidRPr="00725771" w:rsidRDefault="00F36F63" w:rsidP="00D16683">
            <w:pPr>
              <w:ind w:left="159" w:right="170"/>
            </w:pPr>
            <w:r w:rsidRPr="00725771">
              <w:t>Зелені зони це території вкриті лісовою рослинністю, такі як парки, ліси, захисні смуги і т.д.</w:t>
            </w:r>
          </w:p>
        </w:tc>
        <w:tc>
          <w:tcPr>
            <w:tcW w:w="3150" w:type="dxa"/>
            <w:gridSpan w:val="2"/>
            <w:shd w:val="clear" w:color="auto" w:fill="auto"/>
          </w:tcPr>
          <w:p w:rsidR="00F36F63" w:rsidRPr="00725771" w:rsidRDefault="00F36F63" w:rsidP="00D16683">
            <w:pPr>
              <w:ind w:left="159" w:right="170"/>
            </w:pPr>
            <w:r w:rsidRPr="00725771">
              <w:t xml:space="preserve">Річний звіт Департаменту екології та природних ресурсів Рівненської облдержадміністрації. Звіти державних підприємств, що надають комунальні послуги. </w:t>
            </w:r>
          </w:p>
          <w:p w:rsidR="00F36F63" w:rsidRPr="00725771" w:rsidRDefault="00F36F63" w:rsidP="00D16683">
            <w:pPr>
              <w:ind w:left="159" w:right="170"/>
            </w:pPr>
          </w:p>
        </w:tc>
      </w:tr>
      <w:tr w:rsidR="00F36F63" w:rsidRPr="00725771" w:rsidTr="00F36F63">
        <w:tc>
          <w:tcPr>
            <w:tcW w:w="3229" w:type="dxa"/>
            <w:shd w:val="clear" w:color="auto" w:fill="auto"/>
          </w:tcPr>
          <w:p w:rsidR="00F36F63" w:rsidRPr="00725771" w:rsidRDefault="00F36F63" w:rsidP="00D16683">
            <w:pPr>
              <w:ind w:left="159" w:right="170"/>
            </w:pPr>
            <w:r w:rsidRPr="00725771">
              <w:t>Утворення відходів на муніципальному рівні (загальний обсяг, кількість тон на рік, кількість кг на людину). Відходи, як вторинна сировина (тон в рік, % від загальної кількості утворених)</w:t>
            </w:r>
          </w:p>
        </w:tc>
        <w:tc>
          <w:tcPr>
            <w:tcW w:w="2625" w:type="dxa"/>
            <w:shd w:val="clear" w:color="auto" w:fill="auto"/>
          </w:tcPr>
          <w:p w:rsidR="00F36F63" w:rsidRPr="00725771" w:rsidRDefault="00F36F63" w:rsidP="00D16683">
            <w:pPr>
              <w:ind w:left="159" w:right="170"/>
            </w:pPr>
            <w:r w:rsidRPr="00725771">
              <w:t xml:space="preserve">Обсяг твердих побутових відходів, зібраних муніципальною компанією для транспортування на </w:t>
            </w:r>
            <w:proofErr w:type="spellStart"/>
            <w:r w:rsidRPr="00725771">
              <w:t>сміттєзвалище</w:t>
            </w:r>
            <w:proofErr w:type="spellEnd"/>
            <w:r w:rsidRPr="00725771">
              <w:t>. Обсяг зібраних відходів як вторинної сировини (папір, скло, пластик і т.д.)</w:t>
            </w:r>
          </w:p>
        </w:tc>
        <w:tc>
          <w:tcPr>
            <w:tcW w:w="3150" w:type="dxa"/>
            <w:gridSpan w:val="2"/>
            <w:shd w:val="clear" w:color="auto" w:fill="auto"/>
          </w:tcPr>
          <w:p w:rsidR="00F36F63" w:rsidRPr="00725771" w:rsidRDefault="00F36F63" w:rsidP="00D16683">
            <w:pPr>
              <w:ind w:left="159" w:right="170"/>
            </w:pPr>
            <w:r w:rsidRPr="00725771">
              <w:t>Звіти державних підприємств, що надають комунальні послуги.</w:t>
            </w:r>
          </w:p>
          <w:p w:rsidR="00F36F63" w:rsidRPr="00725771" w:rsidRDefault="00F36F63" w:rsidP="00D16683">
            <w:pPr>
              <w:ind w:left="159" w:right="170"/>
            </w:pPr>
            <w:r w:rsidRPr="00725771">
              <w:t>Статистичні звіти по комунальному господарству.</w:t>
            </w:r>
          </w:p>
        </w:tc>
      </w:tr>
      <w:tr w:rsidR="00F36F63" w:rsidRPr="00725771" w:rsidTr="00F36F63">
        <w:tc>
          <w:tcPr>
            <w:tcW w:w="3229" w:type="dxa"/>
            <w:shd w:val="clear" w:color="auto" w:fill="auto"/>
          </w:tcPr>
          <w:p w:rsidR="00F36F63" w:rsidRPr="00725771" w:rsidRDefault="00F36F63" w:rsidP="00D16683">
            <w:pPr>
              <w:ind w:left="159" w:right="170"/>
            </w:pPr>
            <w:r w:rsidRPr="00725771">
              <w:t>Кількість будинків, підключених до централізованої системи водопостачання (кількість, % від загальної кількості)</w:t>
            </w:r>
          </w:p>
          <w:p w:rsidR="00F36F63" w:rsidRPr="00725771" w:rsidRDefault="00F36F63" w:rsidP="00D16683">
            <w:pPr>
              <w:ind w:left="159" w:right="170"/>
            </w:pPr>
            <w:r w:rsidRPr="00725771">
              <w:t xml:space="preserve">Довжина прокладеної </w:t>
            </w:r>
            <w:r w:rsidRPr="00725771">
              <w:lastRenderedPageBreak/>
              <w:t>водопровідної мережі (або реконструйованої)</w:t>
            </w:r>
          </w:p>
        </w:tc>
        <w:tc>
          <w:tcPr>
            <w:tcW w:w="2625" w:type="dxa"/>
            <w:shd w:val="clear" w:color="auto" w:fill="auto"/>
          </w:tcPr>
          <w:p w:rsidR="00F36F63" w:rsidRPr="00725771" w:rsidRDefault="00F36F63" w:rsidP="00D16683">
            <w:pPr>
              <w:ind w:left="159" w:right="170"/>
            </w:pPr>
            <w:r w:rsidRPr="00725771">
              <w:lastRenderedPageBreak/>
              <w:t xml:space="preserve">Кількість (або%) приватних будинків, підключених до централізованого водопостачання у порівнянні із </w:t>
            </w:r>
            <w:r w:rsidRPr="00725771">
              <w:lastRenderedPageBreak/>
              <w:t>загальною кількістю.</w:t>
            </w:r>
          </w:p>
        </w:tc>
        <w:tc>
          <w:tcPr>
            <w:tcW w:w="3150" w:type="dxa"/>
            <w:gridSpan w:val="2"/>
            <w:shd w:val="clear" w:color="auto" w:fill="auto"/>
          </w:tcPr>
          <w:p w:rsidR="00F36F63" w:rsidRPr="00725771" w:rsidRDefault="00F36F63" w:rsidP="00D16683">
            <w:pPr>
              <w:ind w:left="159" w:right="170"/>
            </w:pPr>
            <w:r w:rsidRPr="00725771">
              <w:lastRenderedPageBreak/>
              <w:t>Статистичні звіти по комунальному господарству.</w:t>
            </w:r>
          </w:p>
        </w:tc>
      </w:tr>
      <w:tr w:rsidR="00F36F63" w:rsidRPr="00725771" w:rsidTr="00F36F63">
        <w:tc>
          <w:tcPr>
            <w:tcW w:w="3229" w:type="dxa"/>
            <w:shd w:val="clear" w:color="auto" w:fill="auto"/>
          </w:tcPr>
          <w:p w:rsidR="00F36F63" w:rsidRPr="00725771" w:rsidRDefault="00F36F63" w:rsidP="00D16683">
            <w:pPr>
              <w:ind w:left="159" w:right="170"/>
            </w:pPr>
            <w:r w:rsidRPr="00725771">
              <w:lastRenderedPageBreak/>
              <w:t>Середньодобовий вміст забруднюючих речовин у атмосферному повітрі, переважно від автотранспорту (на вибраних точках моніторингу в центрі села і в районі категорійної автодороги) (</w:t>
            </w:r>
            <w:proofErr w:type="spellStart"/>
            <w:r w:rsidRPr="00725771">
              <w:t>СО</w:t>
            </w:r>
            <w:r w:rsidRPr="00725771">
              <w:rPr>
                <w:vertAlign w:val="subscript"/>
              </w:rPr>
              <w:t>2</w:t>
            </w:r>
            <w:proofErr w:type="spellEnd"/>
            <w:r w:rsidRPr="00725771">
              <w:t xml:space="preserve">, </w:t>
            </w:r>
            <w:proofErr w:type="spellStart"/>
            <w:r w:rsidRPr="00725771">
              <w:rPr>
                <w:lang w:val="en-US"/>
              </w:rPr>
              <w:t>NO</w:t>
            </w:r>
            <w:r w:rsidRPr="00725771">
              <w:rPr>
                <w:vertAlign w:val="subscript"/>
                <w:lang w:val="en-US"/>
              </w:rPr>
              <w:t>x</w:t>
            </w:r>
            <w:proofErr w:type="spellEnd"/>
            <w:r w:rsidRPr="00725771">
              <w:rPr>
                <w:lang w:val="ru-RU"/>
              </w:rPr>
              <w:t xml:space="preserve"> </w:t>
            </w:r>
            <w:proofErr w:type="spellStart"/>
            <w:r w:rsidRPr="00725771">
              <w:rPr>
                <w:lang w:val="ru-RU"/>
              </w:rPr>
              <w:t>і</w:t>
            </w:r>
            <w:proofErr w:type="spellEnd"/>
            <w:r w:rsidRPr="00725771">
              <w:rPr>
                <w:lang w:val="ru-RU"/>
              </w:rPr>
              <w:t xml:space="preserve"> ТЧ</w:t>
            </w:r>
            <w:r w:rsidRPr="00725771">
              <w:t>), (мг/м</w:t>
            </w:r>
            <w:r w:rsidRPr="00725771">
              <w:rPr>
                <w:vertAlign w:val="superscript"/>
              </w:rPr>
              <w:t>3</w:t>
            </w:r>
            <w:r w:rsidRPr="00725771">
              <w:t>)</w:t>
            </w:r>
          </w:p>
        </w:tc>
        <w:tc>
          <w:tcPr>
            <w:tcW w:w="2625" w:type="dxa"/>
            <w:shd w:val="clear" w:color="auto" w:fill="auto"/>
          </w:tcPr>
          <w:p w:rsidR="00F36F63" w:rsidRPr="00725771" w:rsidRDefault="00F36F63" w:rsidP="00D16683">
            <w:pPr>
              <w:ind w:left="159" w:right="170"/>
            </w:pPr>
            <w:r w:rsidRPr="00725771">
              <w:t>Викиди вуглекислого газу, оксиду азоту і твердих частинок від автотранспорту</w:t>
            </w:r>
          </w:p>
        </w:tc>
        <w:tc>
          <w:tcPr>
            <w:tcW w:w="3150" w:type="dxa"/>
            <w:gridSpan w:val="2"/>
            <w:shd w:val="clear" w:color="auto" w:fill="auto"/>
          </w:tcPr>
          <w:p w:rsidR="00F36F63" w:rsidRPr="00725771" w:rsidRDefault="00F36F63" w:rsidP="00D16683">
            <w:pPr>
              <w:ind w:left="159" w:right="170"/>
            </w:pPr>
            <w:r w:rsidRPr="00725771">
              <w:t>Звіт державної гідрометеорологічної служби, центру моніторингу якості довкілля.</w:t>
            </w:r>
          </w:p>
        </w:tc>
      </w:tr>
      <w:tr w:rsidR="00F36F63" w:rsidRPr="00725771" w:rsidTr="00F36F63">
        <w:tc>
          <w:tcPr>
            <w:tcW w:w="3229" w:type="dxa"/>
            <w:shd w:val="clear" w:color="auto" w:fill="auto"/>
          </w:tcPr>
          <w:p w:rsidR="00F36F63" w:rsidRPr="00725771" w:rsidRDefault="00F36F63" w:rsidP="00D16683">
            <w:pPr>
              <w:ind w:left="159" w:right="170"/>
            </w:pPr>
            <w:r w:rsidRPr="00725771">
              <w:t>Протяжність відновленої транспортної інфраструктури та будівництво нової із застосуванням відкритого водовідвідного устаткування (канав, кюветів, лотків)</w:t>
            </w:r>
          </w:p>
        </w:tc>
        <w:tc>
          <w:tcPr>
            <w:tcW w:w="2691" w:type="dxa"/>
            <w:gridSpan w:val="2"/>
            <w:shd w:val="clear" w:color="auto" w:fill="auto"/>
          </w:tcPr>
          <w:p w:rsidR="00F36F63" w:rsidRPr="00725771" w:rsidRDefault="00F36F63" w:rsidP="00D16683">
            <w:pPr>
              <w:ind w:left="159" w:right="170"/>
            </w:pPr>
            <w:r w:rsidRPr="00725771">
              <w:t>Протяжність (км)</w:t>
            </w:r>
          </w:p>
        </w:tc>
        <w:tc>
          <w:tcPr>
            <w:tcW w:w="3084" w:type="dxa"/>
            <w:shd w:val="clear" w:color="auto" w:fill="auto"/>
          </w:tcPr>
          <w:p w:rsidR="00F36F63" w:rsidRPr="00725771" w:rsidRDefault="00F36F63" w:rsidP="00F36F63">
            <w:pPr>
              <w:ind w:left="-108" w:right="141"/>
              <w:jc w:val="both"/>
            </w:pPr>
            <w:r>
              <w:t xml:space="preserve">Звіти </w:t>
            </w:r>
            <w:r w:rsidRPr="00725771">
              <w:t>муніципалітету і Департаменту екології та природних ресурсів Рівненської облдержадміністрації.</w:t>
            </w:r>
          </w:p>
        </w:tc>
      </w:tr>
    </w:tbl>
    <w:p w:rsidR="00F36F63" w:rsidRPr="00725771" w:rsidRDefault="00F36F63" w:rsidP="00F36F63">
      <w:pPr>
        <w:ind w:right="170"/>
      </w:pPr>
    </w:p>
    <w:p w:rsidR="00F36F63" w:rsidRPr="00725771" w:rsidRDefault="00F36F63" w:rsidP="00F36F63">
      <w:pPr>
        <w:ind w:left="159" w:right="170" w:firstLine="567"/>
        <w:jc w:val="both"/>
      </w:pPr>
      <w:r w:rsidRPr="00725771">
        <w:t>Таким чином запропоновані узгоджені показників допоможуть місцевим, регіональним і національним органом влади а також громадськості відстежувати вплив на стан довкілля реалізації генплану що допоможе зберегти орієнтованість на вирішення пріоритетних екологічних проблем населеного пункту і як наслідок поліпшити здоров'я населення і екологічну ситуацію в селі Кругле. У той же час система має бути не надто складна і не повинна вимагати надмірних витрат.</w:t>
      </w:r>
    </w:p>
    <w:p w:rsidR="00F36F63" w:rsidRPr="00725771" w:rsidRDefault="00F36F63" w:rsidP="00F36F63">
      <w:pPr>
        <w:ind w:left="159" w:right="170" w:firstLine="567"/>
        <w:jc w:val="both"/>
        <w:rPr>
          <w:b/>
          <w:u w:val="single"/>
        </w:rPr>
      </w:pPr>
      <w:r w:rsidRPr="00725771">
        <w:rPr>
          <w:b/>
          <w:u w:val="single"/>
        </w:rPr>
        <w:t xml:space="preserve">Висновки </w:t>
      </w:r>
    </w:p>
    <w:p w:rsidR="00F36F63" w:rsidRPr="00725771" w:rsidRDefault="00F36F63" w:rsidP="00F36F63">
      <w:pPr>
        <w:ind w:left="159" w:right="170" w:firstLine="567"/>
        <w:jc w:val="both"/>
        <w:rPr>
          <w:b/>
          <w:i/>
        </w:rPr>
      </w:pPr>
      <w:r w:rsidRPr="00725771">
        <w:rPr>
          <w:b/>
          <w:i/>
        </w:rPr>
        <w:t>Проблеми здійснення стратегічної екологічної оцінки і обмеження застосуванні вибраних методів оцінки.</w:t>
      </w:r>
    </w:p>
    <w:p w:rsidR="00F36F63" w:rsidRPr="00725771" w:rsidRDefault="00F36F63" w:rsidP="00F36F63">
      <w:pPr>
        <w:ind w:left="159" w:right="170" w:firstLine="567"/>
        <w:jc w:val="both"/>
      </w:pPr>
      <w:r w:rsidRPr="00725771">
        <w:t>Цілком природно що при здійсненні такого складного процесу стратегічної екологічної оцінки стикнулися з низкою перешкоді труднощі внаслідок нестачі законодавчих та інституційних механізмів а також практичного досвіду всіх заінтересованих сторін.</w:t>
      </w:r>
    </w:p>
    <w:p w:rsidR="00F36F63" w:rsidRPr="00725771" w:rsidRDefault="00F36F63" w:rsidP="00F36F63">
      <w:pPr>
        <w:ind w:left="159" w:right="170" w:firstLine="567"/>
        <w:jc w:val="both"/>
        <w:rPr>
          <w:b/>
          <w:i/>
        </w:rPr>
      </w:pPr>
      <w:r w:rsidRPr="00725771">
        <w:rPr>
          <w:b/>
          <w:i/>
        </w:rPr>
        <w:t>Основні проблеми здійснення СЕО:</w:t>
      </w:r>
    </w:p>
    <w:p w:rsidR="00F36F63" w:rsidRPr="00725771" w:rsidRDefault="00F36F63" w:rsidP="00F36F63">
      <w:pPr>
        <w:ind w:left="159" w:right="170" w:firstLine="567"/>
        <w:jc w:val="both"/>
      </w:pPr>
      <w:r w:rsidRPr="00725771">
        <w:t>Відсутність або обмежений доступ до розрізнених даних на рівні району з основних проблемних питань охорона довкілля охорони здоров'я автотранспорт соціальна сфера промисловість зелені зони із-за розділених між собою загальнонаціональної і районної систем збору статистичних даних та даних органів охорони довкілля і здоров'я.</w:t>
      </w:r>
    </w:p>
    <w:p w:rsidR="00F36F63" w:rsidRPr="00725771" w:rsidRDefault="00F36F63" w:rsidP="00F36F63">
      <w:pPr>
        <w:ind w:left="159" w:right="170" w:firstLine="567"/>
        <w:jc w:val="both"/>
      </w:pPr>
      <w:r w:rsidRPr="00725771">
        <w:t>Брак знань і практичного досвіду у визначенні потенційних факторів впливу на довкілля і характеру і способів створення єдиної системи прийняття управлінських рішень.</w:t>
      </w:r>
    </w:p>
    <w:p w:rsidR="00F36F63" w:rsidRPr="00725771" w:rsidRDefault="00F36F63" w:rsidP="00F36F63">
      <w:pPr>
        <w:ind w:left="159" w:right="170" w:firstLine="567"/>
        <w:jc w:val="both"/>
      </w:pPr>
      <w:r w:rsidRPr="00725771">
        <w:t>Інституційні та організаційні труднощі які обумовлюють необхідність ефективної координації між відповідними органами управління та всередині їх структури.</w:t>
      </w:r>
    </w:p>
    <w:p w:rsidR="00F36F63" w:rsidRPr="00725771" w:rsidRDefault="00F36F63" w:rsidP="00F36F63">
      <w:pPr>
        <w:ind w:left="159" w:right="170" w:firstLine="567"/>
        <w:jc w:val="both"/>
      </w:pPr>
      <w:r w:rsidRPr="00725771">
        <w:t>Обмежена участь громадськості.</w:t>
      </w:r>
    </w:p>
    <w:p w:rsidR="00F36F63" w:rsidRPr="00725771" w:rsidRDefault="00F36F63" w:rsidP="00F36F63">
      <w:pPr>
        <w:ind w:left="159" w:right="170" w:firstLine="567"/>
        <w:jc w:val="both"/>
      </w:pPr>
      <w:r w:rsidRPr="00725771">
        <w:t>Недостатня звітність проведення процесу екологічної оцінки.</w:t>
      </w:r>
    </w:p>
    <w:p w:rsidR="00F36F63" w:rsidRPr="00725771" w:rsidRDefault="00F36F63" w:rsidP="00F36F63">
      <w:pPr>
        <w:ind w:left="159" w:right="170" w:firstLine="567"/>
        <w:jc w:val="both"/>
        <w:rPr>
          <w:b/>
          <w:i/>
        </w:rPr>
      </w:pPr>
      <w:r w:rsidRPr="00725771">
        <w:rPr>
          <w:b/>
          <w:i/>
        </w:rPr>
        <w:t>Додаткові вигоди стратегічної екологічної оцінки.</w:t>
      </w:r>
    </w:p>
    <w:p w:rsidR="00F36F63" w:rsidRPr="00725771" w:rsidRDefault="00F36F63" w:rsidP="00F36F63">
      <w:pPr>
        <w:ind w:left="159" w:right="170" w:firstLine="567"/>
        <w:jc w:val="both"/>
      </w:pPr>
      <w:r w:rsidRPr="00725771">
        <w:t xml:space="preserve">Група експертів СЕО зробила великі зусилля щодо забезпечення здійснення стратегічної екологічної оцінки відповідно до встановлених міжнародних стандартів чинного законодавства України а також високої якості його результатів (підготовка </w:t>
      </w:r>
      <w:r w:rsidRPr="00725771">
        <w:lastRenderedPageBreak/>
        <w:t>звіту про СЕО) ефективному підвищенню якості самого процесу планування (підготовка генерального плану та планування населеного пункту).</w:t>
      </w:r>
    </w:p>
    <w:p w:rsidR="00F36F63" w:rsidRPr="00725771" w:rsidRDefault="00F36F63" w:rsidP="00F36F63">
      <w:pPr>
        <w:ind w:left="159" w:right="170" w:firstLine="567"/>
        <w:jc w:val="both"/>
      </w:pPr>
      <w:r w:rsidRPr="00725771">
        <w:t>У зв'язку з цим можливо виділити наступні вигоди:</w:t>
      </w:r>
    </w:p>
    <w:p w:rsidR="00F36F63" w:rsidRPr="00725771" w:rsidRDefault="00F36F63" w:rsidP="00F36F63">
      <w:pPr>
        <w:numPr>
          <w:ilvl w:val="0"/>
          <w:numId w:val="1"/>
        </w:numPr>
        <w:ind w:left="564" w:right="170"/>
        <w:jc w:val="both"/>
      </w:pPr>
      <w:r w:rsidRPr="00725771">
        <w:t>процес стратегічної екологічної оцінки забезпечив підтримку групи розробників генплану з питань виявлення основних перешкод і отриманні нових даних необхідних для підготовки розділу з охорони довкілля і відповідних карт (наприклад встановлення планувальних обмежень таких як водоохоронні зони санітарно-захисні зони, зони акустичного впливу та дані про можливе розміщення підприємств різних класів шкідливості на території села</w:t>
      </w:r>
    </w:p>
    <w:p w:rsidR="00F36F63" w:rsidRPr="00725771" w:rsidRDefault="00F36F63" w:rsidP="00F36F63">
      <w:pPr>
        <w:numPr>
          <w:ilvl w:val="0"/>
          <w:numId w:val="1"/>
        </w:numPr>
        <w:ind w:left="564" w:right="170"/>
        <w:jc w:val="both"/>
      </w:pPr>
      <w:r w:rsidRPr="00725771">
        <w:t>здійснення стратегічної екологічної оцінки сприяло діалогу між органами місцевого самоврядування органами охорони довкілля та здоров'я та оцінці проблем у сфері охорони довкілля у рамках ініційованих процесом СЕО консультації</w:t>
      </w:r>
    </w:p>
    <w:p w:rsidR="00F36F63" w:rsidRPr="00725771" w:rsidRDefault="00F36F63" w:rsidP="00F36F63">
      <w:pPr>
        <w:numPr>
          <w:ilvl w:val="0"/>
          <w:numId w:val="1"/>
        </w:numPr>
        <w:ind w:left="564" w:right="170"/>
        <w:jc w:val="both"/>
      </w:pPr>
      <w:r w:rsidRPr="00725771">
        <w:t>була визначена пріоритетність місцевих проблем охорони довкілля які представлені на загальнонаціональному рівні для прийняття управлінських рішень планування заходів забезпечення фінансування з бюджету або залучення інших внутрішніх та зовнішніх джерел фінансування</w:t>
      </w:r>
    </w:p>
    <w:p w:rsidR="00F36F63" w:rsidRPr="00725771" w:rsidRDefault="00F36F63" w:rsidP="00F36F63">
      <w:pPr>
        <w:numPr>
          <w:ilvl w:val="0"/>
          <w:numId w:val="1"/>
        </w:numPr>
        <w:ind w:left="564" w:right="170"/>
        <w:jc w:val="both"/>
      </w:pPr>
      <w:r w:rsidRPr="00725771">
        <w:t>виявлені в процесі стратегічної екологічної оцінки прогалини в даних дозволили визначити потреби у зміні або поліпшення системи збору даних для звітності на районному або обласному рівнях, а також внутрішня відомчий адміністративні потреби у конкретних даних що не відображаються в статистиці. Прикладом може бути відсутність даних по шуму від автодороги в межах населеного пункту.</w:t>
      </w:r>
    </w:p>
    <w:p w:rsidR="00F36F63" w:rsidRPr="00725771" w:rsidRDefault="00F36F63" w:rsidP="00F36F63">
      <w:pPr>
        <w:numPr>
          <w:ilvl w:val="0"/>
          <w:numId w:val="1"/>
        </w:numPr>
        <w:ind w:left="564" w:right="170"/>
      </w:pPr>
      <w:r w:rsidRPr="00725771">
        <w:t>отримано більше інформації про конкретні проблеми населеного пункту щодо розвитку та охорони довкілля які схожість проблеми в багатьох інших населених пунктів але мають певну специфіку</w:t>
      </w:r>
    </w:p>
    <w:p w:rsidR="00F36F63" w:rsidRPr="00725771" w:rsidRDefault="00F36F63" w:rsidP="00F36F63">
      <w:pPr>
        <w:ind w:left="159" w:right="170" w:firstLine="567"/>
        <w:rPr>
          <w:b/>
          <w:i/>
        </w:rPr>
      </w:pPr>
    </w:p>
    <w:p w:rsidR="00F36F63" w:rsidRPr="00725771" w:rsidRDefault="00F36F63" w:rsidP="00F36F63">
      <w:pPr>
        <w:ind w:left="159" w:right="170" w:firstLine="567"/>
        <w:rPr>
          <w:b/>
          <w:i/>
        </w:rPr>
      </w:pPr>
    </w:p>
    <w:p w:rsidR="00F36F63" w:rsidRPr="00725771" w:rsidRDefault="00F36F63" w:rsidP="00F36F63">
      <w:pPr>
        <w:ind w:left="159" w:right="170" w:firstLine="567"/>
        <w:jc w:val="both"/>
        <w:rPr>
          <w:b/>
          <w:i/>
        </w:rPr>
      </w:pPr>
      <w:r w:rsidRPr="00725771">
        <w:rPr>
          <w:b/>
          <w:i/>
        </w:rPr>
        <w:t>Засвоєні уроки</w:t>
      </w:r>
    </w:p>
    <w:p w:rsidR="00F36F63" w:rsidRPr="00725771" w:rsidRDefault="00F36F63" w:rsidP="00F36F63">
      <w:pPr>
        <w:ind w:left="159" w:right="170" w:firstLine="567"/>
        <w:jc w:val="both"/>
      </w:pPr>
      <w:r w:rsidRPr="00725771">
        <w:t>Органи місцевої влади визнали важливість і підтримали процес стратегічної екологічної оцінки але не могли вирішити всі проблеми у зв'язку з необхідністю значного фінансування або прийняття рішень на рівні уряду або парламент України</w:t>
      </w:r>
    </w:p>
    <w:p w:rsidR="00F36F63" w:rsidRPr="00725771" w:rsidRDefault="00F36F63" w:rsidP="00F36F63">
      <w:pPr>
        <w:ind w:left="159" w:right="170" w:firstLine="567"/>
        <w:jc w:val="both"/>
      </w:pPr>
      <w:r w:rsidRPr="00725771">
        <w:t>Процес стратегічної екологічної оцінки повинен забезпечуватися добре структурованої інформації з достатньою фінансуванням і просвітницькою компанією зосередженої на основних цільових групах.</w:t>
      </w:r>
    </w:p>
    <w:p w:rsidR="00F36F63" w:rsidRPr="00725771" w:rsidRDefault="00F36F63" w:rsidP="00F36F63">
      <w:pPr>
        <w:ind w:left="159" w:right="170" w:firstLine="567"/>
        <w:jc w:val="both"/>
      </w:pPr>
      <w:r w:rsidRPr="00725771">
        <w:t>В основі процесу стратегічної екологічної оцінки має бути взаємодія між органами місцевого самоврядування групами стратегічної екологічної оцінки та планування. Такий підхід забезпечує стабільність процесу прийняття управлінських рішень.</w:t>
      </w:r>
    </w:p>
    <w:p w:rsidR="005B6BBB" w:rsidRDefault="005B6BBB" w:rsidP="00F36F63">
      <w:pPr>
        <w:jc w:val="both"/>
      </w:pPr>
    </w:p>
    <w:sectPr w:rsidR="005B6BBB" w:rsidSect="005B6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C97"/>
    <w:multiLevelType w:val="hybridMultilevel"/>
    <w:tmpl w:val="A93A96E4"/>
    <w:lvl w:ilvl="0" w:tplc="550C28F6">
      <w:start w:val="2"/>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F36F63"/>
    <w:rsid w:val="0048578A"/>
    <w:rsid w:val="005B6BBB"/>
    <w:rsid w:val="00F3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6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2021-09-01T12:08:00Z</dcterms:created>
  <dcterms:modified xsi:type="dcterms:W3CDTF">2021-09-01T12:26:00Z</dcterms:modified>
</cp:coreProperties>
</file>