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A4D9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77BD3E1" w14:textId="77777777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B37D8F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14:paraId="347C174F" w14:textId="320C83B1" w:rsidR="00E2618E" w:rsidRPr="00B37D8F" w:rsidRDefault="00E2618E" w:rsidP="00E2618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sz w:val="28"/>
          <w:szCs w:val="28"/>
          <w:lang w:val="uk-UA"/>
        </w:rPr>
        <w:t>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 року №_____</w:t>
      </w:r>
      <w:r w:rsidRPr="00B37D8F">
        <w:rPr>
          <w:rFonts w:ascii="Times New Roman" w:hAnsi="Times New Roman" w:cs="Times New Roman"/>
          <w:sz w:val="28"/>
          <w:szCs w:val="28"/>
        </w:rPr>
        <w:t>__________________</w:t>
      </w:r>
      <w:r w:rsidRPr="00B37D8F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</w:p>
    <w:p w14:paraId="6016E086" w14:textId="223CC8FF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16D38A1F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7E108D1" w14:textId="70D969D2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E2618E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0E1FCFD1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E2618E"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10</w:t>
            </w:r>
            <w:r w:rsidRP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154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</w:t>
            </w:r>
            <w:r w:rsidR="00E2618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розробку </w:t>
            </w:r>
            <w:proofErr w:type="spellStart"/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будівництва, модернізації та поточних ремонтів на 202</w:t>
            </w:r>
            <w:r w:rsidR="005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Співрозробники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B37D8F" w:rsidRPr="009109D3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0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0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4BB4CC04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2618E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37D8F" w:rsidRPr="009109D3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0AFD3554" w:rsidR="00B37D8F" w:rsidRPr="00B37D8F" w:rsidRDefault="005D702F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75F4D88D" w:rsidR="00B37D8F" w:rsidRPr="00B37D8F" w:rsidRDefault="005D702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</w:t>
            </w:r>
            <w:r w:rsidR="00666EDC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72039403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E5219C6" w14:textId="77777777" w:rsidR="00E2618E" w:rsidRDefault="00E2618E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46CD3CB6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1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1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(далі – Програма) обумовлена необхідністю сприяння подальшому розвитку ділової та економічної активності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(далі –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пріоритетами розвитку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стан житлового фонду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загальнобудівельних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</w:t>
      </w:r>
      <w:proofErr w:type="spellStart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є розбудова та модернізація транспортної інфраструктури. Велика кількість автодоріг </w:t>
      </w:r>
      <w:proofErr w:type="spellStart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</w:t>
      </w:r>
      <w:proofErr w:type="spellStart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галузі охорони здоров’я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Вараський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доступності і якості послуг в галузі освіти, − один з пріоритетних напрямів соціально-економічного розвитку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питання забезпечення мешканців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 xml:space="preserve">а території міста </w:t>
      </w:r>
      <w:proofErr w:type="spellStart"/>
      <w:r w:rsidRPr="00FD3A95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Pr="00FD3A95">
        <w:rPr>
          <w:rFonts w:ascii="Times New Roman" w:hAnsi="Times New Roman" w:cs="Times New Roman"/>
          <w:sz w:val="28"/>
          <w:szCs w:val="28"/>
          <w:lang w:val="uk-UA"/>
        </w:rPr>
        <w:t>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пріоритетних завдань Програми сприятиме підвищенню життєвого рівня та вирішенню соціальних проблем мешканців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32180483"/>
      <w:bookmarkStart w:id="3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2"/>
    </w:p>
    <w:bookmarkEnd w:id="3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мереж водопостачання, водовідведення,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каналізаційно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>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4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публічні закупівлі» встановлено правові та економічні засади здійснення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Технічне (технологічне) забезпечення Програми досягається за рахунок будівництва нових чи ремонту існуючих об’єктів інфраструктури, введення нових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(або розширення існуючих), що покращить соціальну сферу та підвищить економічну привабливість громади.</w:t>
      </w:r>
    </w:p>
    <w:p w14:paraId="4BB63170" w14:textId="4C5378BF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E261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3734E49F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5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E261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нтовна вартість заходу, </w:t>
            </w:r>
            <w:proofErr w:type="spellStart"/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Hlk114136790"/>
            <w:bookmarkStart w:id="7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мереж водопостачання, водовідведення, </w:t>
            </w: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каналізаційно</w:t>
            </w:r>
            <w:proofErr w:type="spellEnd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-напірних станцій та міських очисних споруд</w:t>
            </w:r>
            <w:bookmarkEnd w:id="8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6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9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70C8DD79" w:rsidR="007E2741" w:rsidRPr="001C79B0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85,000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19E52839" w:rsidR="007E2741" w:rsidRPr="005D702F" w:rsidRDefault="005D702F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11D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11D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,917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43A4A41E" w:rsidR="007E2741" w:rsidRPr="005D702F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6E29B60E" w:rsidR="007E2741" w:rsidRPr="00081794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14 237,180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E9DA737" w:rsidR="007E2741" w:rsidRPr="001C79B0" w:rsidRDefault="005D702F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5 794,000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3F8F4B23" w:rsidR="007E2741" w:rsidRPr="001C79B0" w:rsidRDefault="007904A0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525</w:t>
            </w:r>
            <w:r w:rsidR="005D70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,178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47982D92" w:rsidR="007E2741" w:rsidRPr="005D702F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16 831,904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3A02415D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6 500</w:t>
            </w:r>
            <w:r w:rsid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6C463414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5 470,812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72E0E933" w:rsidR="007E2741" w:rsidRPr="00454716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1A1" w14:textId="0EFEC5B1" w:rsidR="00A83199" w:rsidRDefault="008553A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136,408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2EA41403" w:rsidR="00914CE3" w:rsidRPr="00210FC9" w:rsidRDefault="005D702F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</w:t>
            </w:r>
          </w:p>
        </w:tc>
      </w:tr>
    </w:tbl>
    <w:p w14:paraId="7A09BF5F" w14:textId="688FD32B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132815769"/>
      <w:bookmarkStart w:id="16" w:name="_Hlk132182409"/>
      <w:bookmarkEnd w:id="7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5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мереж водопостачання, водовідведення, </w:t>
            </w: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каналізаційно</w:t>
            </w:r>
            <w:proofErr w:type="spellEnd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25B62619" w:rsidR="00F434D2" w:rsidRPr="00D00E98" w:rsidRDefault="005D554D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0B448054" w:rsidR="00F434D2" w:rsidRPr="00BD52A9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219D4EA2" w:rsidR="00F434D2" w:rsidRPr="005D702F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324B83AF" w:rsidR="00F434D2" w:rsidRPr="00BD52A9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13442A66" w:rsidR="00F434D2" w:rsidRPr="002E2F86" w:rsidRDefault="007904A0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F701ECA" w:rsidR="00F434D2" w:rsidRPr="005D702F" w:rsidRDefault="005D702F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bookmarkEnd w:id="17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21D2EF14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65F2B0CD" w:rsidR="00454716" w:rsidRDefault="007904A0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6659E24D" w:rsidR="00454716" w:rsidRDefault="005D70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073510A9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8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5B666F9E" w:rsidR="00F623E8" w:rsidRDefault="005D702F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9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635E8183" w:rsidR="005D702F" w:rsidRPr="00F623E8" w:rsidRDefault="005D702F" w:rsidP="005D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9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9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6780755D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E261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Орієнтовні обсяги фінансування (вартість), </w:t>
            </w:r>
            <w:proofErr w:type="spellStart"/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19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Будівництво мереж водопостачання, водовідведення, </w:t>
            </w:r>
            <w:proofErr w:type="spellStart"/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каналізаційно</w:t>
            </w:r>
            <w:proofErr w:type="spellEnd"/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19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1417C84C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85,000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08BE5C4F" w:rsidR="003E49B4" w:rsidRPr="00D34BF4" w:rsidRDefault="005D702F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F11D3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F11D3D">
              <w:rPr>
                <w:rFonts w:ascii="Times New Roman" w:eastAsia="Times New Roman" w:hAnsi="Times New Roman" w:cs="Times New Roman"/>
                <w:lang w:val="uk-UA" w:eastAsia="ru-RU"/>
              </w:rPr>
              <w:t>662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,917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233A8F5B" w:rsidR="003E49B4" w:rsidRPr="005D702F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420E6316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14 237,180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48A7A457" w:rsidR="003E49B4" w:rsidRPr="00FC4AE1" w:rsidRDefault="005D702F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5 794,000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6CBD83FD" w:rsidR="00B2562F" w:rsidRPr="00C17B39" w:rsidRDefault="007904A0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525</w:t>
            </w:r>
            <w:r w:rsidR="005D702F">
              <w:rPr>
                <w:rFonts w:ascii="Times New Roman" w:eastAsia="Times New Roman" w:hAnsi="Times New Roman" w:cs="Times New Roman"/>
                <w:lang w:val="uk-UA" w:eastAsia="ru-RU"/>
              </w:rPr>
              <w:t>,178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280D6A52" w:rsidR="00B2562F" w:rsidRPr="005D70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16 831,904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3F603193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6 500,000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584DDAC0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5 470,812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1FB15435" w:rsidR="00B2562F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638233B9" w:rsidR="00B2562F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136,408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64210077" w:rsidR="003E49B4" w:rsidRPr="00914A04" w:rsidRDefault="005D70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04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дій по виконанню заходів Програми здійснює департамент житлово-комунального господарства, майна та будівництва виконавчого комітету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постійні комісії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житлово-комунального господарства, майна та будівництва виконавчого комітету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управлінню економіки та розвитку громади виконавчого комітету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постійній комісії </w:t>
      </w:r>
      <w:proofErr w:type="spellStart"/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FFC0" w14:textId="77777777" w:rsidR="00D37069" w:rsidRDefault="00D37069">
      <w:r>
        <w:separator/>
      </w:r>
    </w:p>
  </w:endnote>
  <w:endnote w:type="continuationSeparator" w:id="0">
    <w:p w14:paraId="6E558C99" w14:textId="77777777" w:rsidR="00D37069" w:rsidRDefault="00D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1800" w14:textId="77777777" w:rsidR="00D37069" w:rsidRDefault="00D37069">
      <w:r>
        <w:separator/>
      </w:r>
    </w:p>
  </w:footnote>
  <w:footnote w:type="continuationSeparator" w:id="0">
    <w:p w14:paraId="550567EC" w14:textId="77777777" w:rsidR="00D37069" w:rsidRDefault="00D3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4C3BF12B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1271670339">
    <w:abstractNumId w:val="2"/>
  </w:num>
  <w:num w:numId="2" w16cid:durableId="1840467513">
    <w:abstractNumId w:val="4"/>
  </w:num>
  <w:num w:numId="3" w16cid:durableId="171770644">
    <w:abstractNumId w:val="0"/>
  </w:num>
  <w:num w:numId="4" w16cid:durableId="1967151114">
    <w:abstractNumId w:val="3"/>
  </w:num>
  <w:num w:numId="5" w16cid:durableId="161343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D237B"/>
    <w:rsid w:val="000D3FA6"/>
    <w:rsid w:val="000D7310"/>
    <w:rsid w:val="000D7A76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4C6B"/>
    <w:rsid w:val="001B71CC"/>
    <w:rsid w:val="001B7525"/>
    <w:rsid w:val="001C4BB9"/>
    <w:rsid w:val="001C79B0"/>
    <w:rsid w:val="001D29B1"/>
    <w:rsid w:val="001D3110"/>
    <w:rsid w:val="001D7BB0"/>
    <w:rsid w:val="001E69FD"/>
    <w:rsid w:val="001F02CC"/>
    <w:rsid w:val="001F4432"/>
    <w:rsid w:val="00201744"/>
    <w:rsid w:val="00202CF7"/>
    <w:rsid w:val="0020336C"/>
    <w:rsid w:val="00207933"/>
    <w:rsid w:val="00210FC9"/>
    <w:rsid w:val="00213D44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10071"/>
    <w:rsid w:val="00416A63"/>
    <w:rsid w:val="00422481"/>
    <w:rsid w:val="00426253"/>
    <w:rsid w:val="004309FA"/>
    <w:rsid w:val="00430EA2"/>
    <w:rsid w:val="004328D9"/>
    <w:rsid w:val="00433EC0"/>
    <w:rsid w:val="004415CD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55BD"/>
    <w:rsid w:val="004D0B47"/>
    <w:rsid w:val="004D2CE7"/>
    <w:rsid w:val="004D39EA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3138"/>
    <w:rsid w:val="00564667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C50F8"/>
    <w:rsid w:val="005D021B"/>
    <w:rsid w:val="005D23F7"/>
    <w:rsid w:val="005D50BB"/>
    <w:rsid w:val="005D554D"/>
    <w:rsid w:val="005D702F"/>
    <w:rsid w:val="005E3994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04A0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569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09D3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BBF"/>
    <w:rsid w:val="00AF6328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D20"/>
    <w:rsid w:val="00C7768E"/>
    <w:rsid w:val="00C801CB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416F"/>
    <w:rsid w:val="00CD5888"/>
    <w:rsid w:val="00CE3D62"/>
    <w:rsid w:val="00CF1446"/>
    <w:rsid w:val="00D00E98"/>
    <w:rsid w:val="00D02BAC"/>
    <w:rsid w:val="00D02F7B"/>
    <w:rsid w:val="00D038FB"/>
    <w:rsid w:val="00D134BE"/>
    <w:rsid w:val="00D14476"/>
    <w:rsid w:val="00D170A3"/>
    <w:rsid w:val="00D179B1"/>
    <w:rsid w:val="00D23C7D"/>
    <w:rsid w:val="00D26924"/>
    <w:rsid w:val="00D27CF5"/>
    <w:rsid w:val="00D34BF4"/>
    <w:rsid w:val="00D37069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45E8"/>
    <w:rsid w:val="00E2618E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3854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11D3D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C807-EB6A-469F-A5DF-2032452A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2242</Words>
  <Characters>16817</Characters>
  <Application>Microsoft Office Word</Application>
  <DocSecurity>0</DocSecurity>
  <Lines>140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Novak</cp:lastModifiedBy>
  <cp:revision>2</cp:revision>
  <cp:lastPrinted>2024-12-13T09:21:00Z</cp:lastPrinted>
  <dcterms:created xsi:type="dcterms:W3CDTF">2024-12-18T15:11:00Z</dcterms:created>
  <dcterms:modified xsi:type="dcterms:W3CDTF">2024-12-18T15:11:00Z</dcterms:modified>
</cp:coreProperties>
</file>